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B4" w:rsidRPr="00884322" w:rsidRDefault="00884322" w:rsidP="00884322">
      <w:pPr>
        <w:spacing w:before="120" w:after="120"/>
        <w:jc w:val="center"/>
        <w:rPr>
          <w:b/>
        </w:rPr>
      </w:pPr>
      <w:r w:rsidRPr="00884322">
        <w:rPr>
          <w:b/>
        </w:rPr>
        <w:t>ÁN LỆ SỐ 28/2019/AL</w:t>
      </w:r>
    </w:p>
    <w:p w:rsidR="00884322" w:rsidRDefault="00884322" w:rsidP="00884322">
      <w:pPr>
        <w:spacing w:before="120" w:after="240"/>
      </w:pPr>
      <w:r>
        <w:t>Án lệ số 28/2019</w:t>
      </w:r>
      <w:r w:rsidRPr="00884322">
        <w:t>/AL được Hội đồng Thẩm phán Tòa án nhân dân tối cao thông qua ngày 10 tháng 10 năm 2019 và được công bố theo Quyết định 293/QĐ-CA năm 2019 của Chánh án Tòa án nhân dân tối cao.</w:t>
      </w:r>
    </w:p>
    <w:p w:rsidR="00884322" w:rsidRPr="00884322" w:rsidRDefault="00884322" w:rsidP="00884322">
      <w:pPr>
        <w:spacing w:before="120" w:after="120"/>
        <w:jc w:val="center"/>
        <w:rPr>
          <w:b/>
        </w:rPr>
      </w:pPr>
      <w:r w:rsidRPr="00884322">
        <w:rPr>
          <w:b/>
        </w:rPr>
        <w:t>KHÁI QUÁT ÁN LỆ</w:t>
      </w:r>
    </w:p>
    <w:p w:rsidR="00884322" w:rsidRDefault="00884322" w:rsidP="00884322">
      <w:pPr>
        <w:spacing w:before="120" w:after="240"/>
      </w:pPr>
      <w:r>
        <w:t>– Tình huống án lệ:</w:t>
      </w:r>
    </w:p>
    <w:p w:rsidR="00884322" w:rsidRDefault="00884322" w:rsidP="00884322">
      <w:pPr>
        <w:spacing w:before="120" w:after="240"/>
      </w:pPr>
      <w:r>
        <w:t>Bị hại đã thực hiện một chuỗi hành vi trái pháp luật tấn công bị cáo liên tục, kéo dài làm cho bị cáo bị ức chế tâm lý, kích động về tinh thần. Trong trạng thái bị mất khả năng tự chủ, bị cáo dùng dao đâm bị hại nhằm thoát khỏi sự tấn công. Bị cáo không nhận thức hết được tính chất và mức độ nguy hiểm của hành vi mà mình đã thực hiện. Hậu quả dẫn đến bị hại chết.</w:t>
      </w:r>
    </w:p>
    <w:p w:rsidR="00884322" w:rsidRDefault="00884322" w:rsidP="00884322">
      <w:pPr>
        <w:spacing w:before="120" w:after="240"/>
      </w:pPr>
      <w:r>
        <w:t>– Giải pháp pháp lý: Trường hợp này, bị cáo phải bị truy cứu trách nhiệm hình sự về tội “Giết người trong trạng thái tinh thần bị kích động mạnh”.</w:t>
      </w:r>
    </w:p>
    <w:p w:rsidR="00884322" w:rsidRPr="00884322" w:rsidRDefault="00884322" w:rsidP="00884322">
      <w:pPr>
        <w:spacing w:before="120" w:after="120"/>
        <w:jc w:val="center"/>
        <w:rPr>
          <w:b/>
        </w:rPr>
      </w:pPr>
      <w:r w:rsidRPr="00884322">
        <w:rPr>
          <w:b/>
        </w:rPr>
        <w:t>NỘI DUNG VỤ ÁN</w:t>
      </w:r>
    </w:p>
    <w:p w:rsidR="00884322" w:rsidRDefault="00884322" w:rsidP="00884322">
      <w:pPr>
        <w:spacing w:before="120" w:after="240"/>
      </w:pPr>
      <w:r>
        <w:t>Khoảng 23 giờ 30 phút ngày 03-11-2016, Trần Văn C đang chơi game ở quán Internet “Su Su” thuộc thôn 1A, xã N, huyện K, tỉnh Đắk Lắk thì bạn là anh Nguyễn Hồng Q gọi điện thoại hỏi C đang ở đâu. Khi biết C đang chơi game ở quán Internet, anh Q cũng đến và vào chơi ở máy số 6. Trong lúc chơi game, anh Q nhiều lần đến chỗ C ngồi hỏi mượn tiền, nhưng C nói không có tiền. Một lúc sau, anh Q đến chỗ C đưa 02 chiếc điện thoại di động của mình nói C cầm cố đế mượn tiền, C vẫn không đồng ý nên anh Q bỏ về chỗ của mình tiếp tục ngồi chơi game.</w:t>
      </w:r>
    </w:p>
    <w:p w:rsidR="00884322" w:rsidRDefault="00884322" w:rsidP="00884322">
      <w:pPr>
        <w:spacing w:before="120" w:after="240"/>
      </w:pPr>
      <w:r>
        <w:t>Khoảng 15 phút sau, anh Q đi đến chỗ C nói “Anh không tin em sao, giúp em đi”, C trả lời “Anh không có tiền thật mà, mày làm ơn đi chỗ khác để anh chơi. Anh Q chửi “Đ.M mày, nhớ mặt tao”. C nghe vậy không nói gì, anh Q bỏ về chỗ máy của mình. Ít phút sau, anh Q đi đến chỗ C đang chơi game, tay phải đấm mạnh 01 cái vào má trái của C làm chảy máu. Bị đánh, C tức giận lấy dao Thái Lan có sẵn trên bàn giữa 02 máy vi tính, rồi cầm dao bằng tay phải đứng lên ghế mình ngồi. Thấy vậy, anh Q lao đến, C dùng dao quơ ngang qua lại trúng vào mặt anh Q làm chảy máu. Anh Q xông đến dùng hai tay kéo C xuống ghế, sau đó anh Q dùng hai tay kẹp cổ C theo tư thế phần đầu của C ở phía sau lưng anh Q, còn phần hai tay, thân người và hai chân của C ở phía trước người anh Q. Bị anh Q kẹp cổ, C dùng tay trái nắm vào phần hông bên phải anh Q, còn tay phải C cầm dao Thái Lan đâm 01 nhát trúng ngực anh Q. Anh Nguyễn Hải Q1 đang chơi game thấy vậy chạy đến giật con dao trên tay C vứt vào góc quán. Lúc này anh Q bị ngã xuống nền nhà, sau đó C và một số người có mặt trong quán đưa anh Q đến bệnh viện cấp cứu. Đến ngày 04-11-2016, anh Q tử vong. Ngay sau đó, C đến Công an huyện K đầu thú.</w:t>
      </w:r>
    </w:p>
    <w:p w:rsidR="00884322" w:rsidRDefault="00884322" w:rsidP="00884322">
      <w:pPr>
        <w:spacing w:before="120" w:after="240"/>
      </w:pPr>
      <w:r>
        <w:t xml:space="preserve">Kết quả khám nghiệm tử thi anh Nguyễn Hồng Q ghi nhận: Vùng trán trái phía trên lông mày có vết rách da hình khe, dài 0,7cm. Đỉnh mũi có vết rách da hình khe dài 02cm, sâu 0,4 cm; cách vết này 03 cm tại môi trên có vết rách da hình khe dài 02 cm. </w:t>
      </w:r>
      <w:r>
        <w:lastRenderedPageBreak/>
        <w:t>Mép phải có vết rách da hình khe dài 03 cm, sâu 0,8 cm. Ba vết rách da tạo đường thẳng không liên tục hướng từ trên xuống dưới, từ trái qua phải. Ngực phải cách núm vú phải 3,5 cm về phía dưới, cách đường giữa 09 cm có vết xây xát da nằm ngang hình khe dài 1,3 cm. Ngực trái cách gót chân trái 120 cm, cách đường giữa 05 cm có vết rách da dài 2,5 cm, hở rộng 01 cm, nằm ngang hướng từ trái sang phải, từ trước ra sau, từ ngoài vào trong.</w:t>
      </w:r>
    </w:p>
    <w:p w:rsidR="00884322" w:rsidRDefault="00884322" w:rsidP="00884322">
      <w:pPr>
        <w:spacing w:before="120" w:after="240"/>
      </w:pPr>
      <w:r>
        <w:t>Tại Bản kết luận giám định pháp y tử thi số 714/QĐPY ngày 24-11-2016 của Phòng kỹ thuật hình sự Công an tỉnh Đắk Lắk, kết luận: Nguyên nhân tử vong của anh Nguyễn Hồng Q là vết thương thấu ngực trái gây nên thương tổn xuyên tim dẫn đến tim ngừng đập và mất máu suy tuần hoàn cấp không hồi phục.</w:t>
      </w:r>
    </w:p>
    <w:p w:rsidR="00884322" w:rsidRDefault="00884322" w:rsidP="00884322">
      <w:pPr>
        <w:spacing w:before="120" w:after="240"/>
      </w:pPr>
      <w:r>
        <w:t>Tại Bản kết luận pháp y thương tích số 113/PY-TgT ngày 04-01-2017 của Trung tâm pháp y tỉnh Đắk Lắk kết luận: Trần Văn C bị chấn thương vùng má trái với thương tích 02%.</w:t>
      </w:r>
    </w:p>
    <w:p w:rsidR="00884322" w:rsidRDefault="00884322" w:rsidP="00884322">
      <w:pPr>
        <w:spacing w:before="120" w:after="240"/>
      </w:pPr>
      <w:r>
        <w:t>Trước khi xét xử sơ thấm, gia đình Trần Văn C đã bồi thường cho gia đình người bị hại 95.000.000 đồng.</w:t>
      </w:r>
    </w:p>
    <w:p w:rsidR="00884322" w:rsidRDefault="00884322" w:rsidP="00884322">
      <w:pPr>
        <w:spacing w:before="120" w:after="240"/>
      </w:pPr>
      <w:r>
        <w:t>Tại Bản án hình sự sơ thẩm số 14/2017/HSST ngày 09-5-2017, Tòa án nhân dân tỉnh Đắk Lắk áp dụng khoản 1 Điều 95; các điểm b, h, p khoản 1, khoản 2 Điều 46 Bộ luật Hình sự, xử phạt Trần Văn C 02 (hai) năm 06 (sáu) tháng tù về tội “Giết người trong trạng thái tinh thần bị kích động mạnh”; căn cứ Điều 42 Bộ luật Hình sự, các điều 606, 610 Bộ luật Dân sự buộc bị cáo C phải bồi thường cho gia đình người bị hại số tiền 122.600.000 đồng, đã bồi thường 95.000.000 đồng, còn lại phải bồi thường 27.600.000 đồng; buộc cấp dưỡng cho cháu Nguyễn Hồng M 600.000 đồng/tháng; đối với con mới sinh của anh Nguyễn Hồng Q, chị Lại Thị Minh T có quyền khởi kiện về yêu cầu cấp dưỡng bằng một vụ án dân sự khác khi có yêu cầu.</w:t>
      </w:r>
    </w:p>
    <w:p w:rsidR="00884322" w:rsidRDefault="00884322" w:rsidP="00884322">
      <w:pPr>
        <w:spacing w:before="120" w:after="240"/>
      </w:pPr>
      <w:r>
        <w:t>Ngoài ra, Tòa án cấp sơ thẩm còn quyết định về xử lý vật chứng, án phí và tuyên quyền kháng cáo theo quy định của pháp luật.</w:t>
      </w:r>
    </w:p>
    <w:p w:rsidR="00884322" w:rsidRDefault="00884322" w:rsidP="00884322">
      <w:pPr>
        <w:spacing w:before="120" w:after="240"/>
      </w:pPr>
      <w:r>
        <w:t>Ngày 22-5-2017, người đại diện họp pháp của người bị hại chị Lại Thị Minh T kháng cáo đề nghị áp dụng khoản 2 Điều 93 Bộ luật Hình sự đối với Trần Văn C và tăng hình phạt; đồng thời, đề nghị tăng mức cấp dưỡng đối với cháu Hồng M và yêu cầu xác định trách nhiệm cấp dưỡng cho con mới sinh của anh Q là cháu Hải Đ (sinh ngày 29-4-2017).</w:t>
      </w:r>
    </w:p>
    <w:p w:rsidR="00884322" w:rsidRDefault="00884322" w:rsidP="00884322">
      <w:pPr>
        <w:spacing w:before="120" w:after="240"/>
      </w:pPr>
      <w:r>
        <w:t>Ngày 24-5-2017, Trần Văn C kháng cáo xin giảm hình phạt.</w:t>
      </w:r>
    </w:p>
    <w:p w:rsidR="00884322" w:rsidRDefault="00884322" w:rsidP="00884322">
      <w:pPr>
        <w:spacing w:before="120" w:after="240"/>
      </w:pPr>
      <w:r>
        <w:t>Tại Bản án hình sự phúc thẩm số 200/2017/HSPT ngày 10-8-2017, Tòa án nhân dân cấp cao tại Đà Nẵng căn cứ điếm a, b, c khoản 2 Điều 248; khoản 3 Điều 249 Bộ luật Tố tụng hình sự:</w:t>
      </w:r>
    </w:p>
    <w:p w:rsidR="00884322" w:rsidRDefault="00884322" w:rsidP="00884322">
      <w:pPr>
        <w:spacing w:before="120" w:after="240"/>
      </w:pPr>
      <w:r>
        <w:t>– Không chấp nhận kháng cáo của bị cáo Trần Văn C.</w:t>
      </w:r>
    </w:p>
    <w:p w:rsidR="00884322" w:rsidRDefault="00884322" w:rsidP="00884322">
      <w:pPr>
        <w:spacing w:before="120" w:after="240"/>
      </w:pPr>
      <w:r>
        <w:t>– Chấp nhận kháng cáo của người đại diện hợp pháp của người bị hại:</w:t>
      </w:r>
    </w:p>
    <w:p w:rsidR="00884322" w:rsidRDefault="00884322" w:rsidP="00884322">
      <w:pPr>
        <w:spacing w:before="120" w:after="240"/>
      </w:pPr>
      <w:r>
        <w:lastRenderedPageBreak/>
        <w:t>+ Sửa bản án sơ thẩm về trách nhiệm hình sự: Áp dụng khoản 2 Điều 93; các điếm b, p khoản 1, khoản 2 Điều 46 Bộ luật Hình sự, xử phạt Trần Văn C 07 (bảy) năm tù về tội “Giết người”.</w:t>
      </w:r>
    </w:p>
    <w:p w:rsidR="00884322" w:rsidRDefault="00884322" w:rsidP="00884322">
      <w:pPr>
        <w:spacing w:before="120" w:after="240"/>
      </w:pPr>
      <w:r>
        <w:t>+ Hủy một phần bản án hình sự sơ thấm liên quan đến trách nhiệm cấp dưỡng nuôi con của người bị hại; giao hồ sơ cho Tòa án nhân dân tỉnh Đắk Lắk giải quyết lại theo quy định của pháp luật.</w:t>
      </w:r>
    </w:p>
    <w:p w:rsidR="00884322" w:rsidRDefault="00884322" w:rsidP="00884322">
      <w:pPr>
        <w:spacing w:before="120" w:after="240"/>
      </w:pPr>
      <w:r>
        <w:t>Tại Bản án số 47/2017/HSST ngày 14-9-2017, Tòa án nhân dân tỉnh Đắk Lắk quyết định buộc Trần Văn C có nghĩa vụ cấp dưỡng cho 02 cháu Nguyễn Hồng M và Nguyễn Hải Đ, mỗi cháu 650.000 đồng/tháng.</w:t>
      </w:r>
    </w:p>
    <w:p w:rsidR="00884322" w:rsidRDefault="00884322" w:rsidP="00884322">
      <w:pPr>
        <w:spacing w:before="120" w:after="240"/>
      </w:pPr>
      <w:r>
        <w:t>Tại Quyết định kháng nghị giám đốc thẩm số 15/2018/KN-HS ngày 22-5-2018, Chánh án Tòa án nhân dân tối cao quyết định kháng nghị Bản án hình sự phúc thẩm số 200/2017/HSPT ngày 10-8-2017 của Tòa án nhân dân cấp cao tại Đà Nẵng và đề nghị Hội đồng Thấm phán Tòa án nhân dân tối cao xét xử giám đốc thẩm hủy bản án hình sự phúc thẩm nêu trên về phần trách nhiệm hình sự đối với Trần Văn C và giao hồ sơ vụ án cho Tòa án nhân dân cấp cao tại Đà Nẵng để xét xử phúc thẩm lại.</w:t>
      </w:r>
    </w:p>
    <w:p w:rsidR="00884322" w:rsidRDefault="00884322" w:rsidP="00884322">
      <w:pPr>
        <w:spacing w:before="120" w:after="240"/>
      </w:pPr>
      <w:r>
        <w:t>Tại phiên tòa giám đốc thẩm, đại diện Viện kiểm sát nhân dân tối cao nhất trí với quyết định kháng nghị giám đốc thẩm của Chánh án Tòa án nhân dân tối cao và đề nghị Hội đồng Thẩm phán Tòa án nhân dân tối cao quyết định hủy bản án phúc thẩm, giữ nguyên quyết định của bản án sơ thẩm về phần tội danh và hình phạt đối với Trần Văn C.</w:t>
      </w:r>
    </w:p>
    <w:p w:rsidR="00884322" w:rsidRPr="00884322" w:rsidRDefault="00884322" w:rsidP="00884322">
      <w:pPr>
        <w:spacing w:before="120" w:after="120"/>
        <w:jc w:val="center"/>
        <w:rPr>
          <w:b/>
        </w:rPr>
      </w:pPr>
      <w:r w:rsidRPr="00884322">
        <w:rPr>
          <w:b/>
        </w:rPr>
        <w:t>QUYẾT ĐỊNH</w:t>
      </w:r>
    </w:p>
    <w:p w:rsidR="00884322" w:rsidRDefault="00884322" w:rsidP="00884322">
      <w:pPr>
        <w:spacing w:before="120" w:after="240"/>
      </w:pPr>
      <w:r>
        <w:t>Căn cứ vào Điều 382, khoản 2 Điều 388, Điều 390 Bộ luật Tố tụng hình sự:</w:t>
      </w:r>
    </w:p>
    <w:p w:rsidR="00884322" w:rsidRDefault="00884322" w:rsidP="00884322">
      <w:pPr>
        <w:spacing w:before="120" w:after="240"/>
      </w:pPr>
      <w:r>
        <w:t>1.Hủy Bản án hình sự phúc thẩm số 200/2017/HSPT ngày 10-8-2017 của Tòa án nhân dân cấp cao tại Đà Nẵng về phần trách nhiệm hình sự (tội danh, hình phạt và án phí) đối với Trần Văn C.</w:t>
      </w:r>
    </w:p>
    <w:p w:rsidR="00884322" w:rsidRDefault="00884322" w:rsidP="00884322">
      <w:pPr>
        <w:spacing w:before="120" w:after="240"/>
      </w:pPr>
      <w:r>
        <w:t>2.Giữ nguyên quyết định của Bản án hình sự sơ thẩm số 14/2017/HSST ngày 09-5-2017 của Tòa án nhân dân tỉnh Đắk Lắk về phần trách nhiệm hình sự đối với Trần Văn C.</w:t>
      </w:r>
    </w:p>
    <w:p w:rsidR="00884322" w:rsidRPr="00884322" w:rsidRDefault="00884322" w:rsidP="00884322">
      <w:pPr>
        <w:spacing w:before="120" w:after="120"/>
        <w:jc w:val="center"/>
        <w:rPr>
          <w:b/>
        </w:rPr>
      </w:pPr>
      <w:r w:rsidRPr="00884322">
        <w:rPr>
          <w:b/>
        </w:rPr>
        <w:t>NHẬN ĐỊNH CỦA TÒA ÁN</w:t>
      </w:r>
    </w:p>
    <w:p w:rsidR="00884322" w:rsidRDefault="00884322" w:rsidP="00884322">
      <w:pPr>
        <w:spacing w:before="120" w:after="240"/>
      </w:pPr>
      <w:r>
        <w:t xml:space="preserve">[1] Về tội danh: Căn cứ vào lời khai của Trần Văn C phù hợp với lời khai của các nhân chứng Lê Hữu N1, Nguyễn Văn N2 có cơ sở xác định nguyên nhân xảy ra sự việc bắt nguồn từ lỗi của người bị hại Nguyễn Hồng Q. Anh Q đã có một chuỗi hành vi liên tục tác động đến Trân Văn C như hỏi vay tiền C, C trả lời không có tiền, anh Q chửi C, C không nói gì, tiếp đó anh Q đến chỗ C ngồi đấm vào mặt C (gây thương tích 02%). Sau khi bị anh Q đấm, C lấy con dao (dùng để gọt trái cây, có sẵn trên bàn) rồi đứng lên ghế quơ qua quơ lại (thể hiện C không có ý định tấn công anh Q mà nhằm ngăn chặn sự tấn công của anh Q), nhưng anh Q bất chấp C đang cầm dao vẫn lao vào và kéo C xuống khỏi ghế, kẹp cổ C. Trong tư thế bị khống chế, phần đầu của C bị kẹp ở </w:t>
      </w:r>
      <w:r>
        <w:lastRenderedPageBreak/>
        <w:t>phía sau lưng anh Q, hai tay, chân và thân người của C ở phía trước người anh Q, C đã dùng tay phải đang cầm dao đâm vào ngực anh Q, gây ra cái chết cho anh Q. Trường hợp này, bị hại là người gây sự, tấn công bị cáo trước. Hành vi tấn công của bị hại diễn ra liên tục với mức độ tăng dần. Hành vi của bị hại là trái pháp luật, xâm phạm sự an toàn về thân thể của bị cáo. Trong trạng thái bị kích động dẫn đến mất khả năng tự chủ, không nhận thức hết được tính chất và mức độ nguy hiểm của hành vi của mình, bị cáo dùng dao đâm vào ngực bị hại là nhằm thoát khỏi sự tấn công. Do đó, có đủ cơ sở xác định Trần Văn C đã bị kích động mạnh về tinh thần. Tòa án cấp sơ thẩm kết án Trần Văn C về tội “Giết người trong trạng thái tinh thần bị kích động mạnh” là có căn cứ.</w:t>
      </w:r>
    </w:p>
    <w:p w:rsidR="00884322" w:rsidRDefault="00884322" w:rsidP="00884322">
      <w:pPr>
        <w:spacing w:before="120" w:after="240"/>
      </w:pPr>
      <w:r>
        <w:t>[2] Tòa án cấp phúc thẩm nhận định Trần Văn C bị kích động về tinh thần, nhưng chưa đến mức bị kích động mạnh, là chưa xem xét khách quan, toàn diện nguyên nhân, quá trình diễn biến của sự việc cũng như mức độ nghiêm trọng, liên tục của hành vi trái pháp luật của người bị hại, từ đó chuyển tội danh từ “Giết người trong trạng thái tinh thần bị kích động mạnh” sang “Giết người” đối với Trần Văn C là không đúng.</w:t>
      </w:r>
    </w:p>
    <w:p w:rsidR="00884322" w:rsidRDefault="00884322" w:rsidP="00884322">
      <w:pPr>
        <w:spacing w:before="120" w:after="240"/>
      </w:pPr>
      <w:r>
        <w:t>Vì các lẽ trên,</w:t>
      </w:r>
    </w:p>
    <w:p w:rsidR="00884322" w:rsidRPr="00884322" w:rsidRDefault="00884322" w:rsidP="00884322">
      <w:pPr>
        <w:spacing w:before="120" w:after="120"/>
        <w:jc w:val="center"/>
        <w:rPr>
          <w:b/>
        </w:rPr>
      </w:pPr>
      <w:r w:rsidRPr="00884322">
        <w:rPr>
          <w:b/>
        </w:rPr>
        <w:t>NỘI DUNG ÁN LỆ</w:t>
      </w:r>
    </w:p>
    <w:p w:rsidR="00884322" w:rsidRDefault="00884322" w:rsidP="00884322">
      <w:pPr>
        <w:spacing w:before="120" w:after="240"/>
      </w:pPr>
      <w:bookmarkStart w:id="0" w:name="_GoBack"/>
      <w:r>
        <w:t>“[1]… Bị hại là người gây sự, tấn công bị cáo trước. Hành vi tấn công của bị hại diễn ra liên tục với mức độ tăng dần. Hành vi của bị hại là trái pháp luật, xâm phạm sự an toàn về thân thể của bị cáo. Trong trạng thái bị kích động dẫn đến mất khả năng tự chủ, không nhận thức hết được tính chất và mức độ nguy hiểm của hành vi của mình, bị cáo dùng dao đâm vào ngực bị hại là nhằm thoát khỏi sự tấn công. Do đó, có đủ cơ sở xác định Trần Văn C đã bị kích động mạnh về tinh thần. Tòa án cấp sơ thẩm kết án Trần Văn C về tội “Giết người trong trạng thái tinh thần bị kích động mạnh ” là có căn cứ.</w:t>
      </w:r>
    </w:p>
    <w:bookmarkEnd w:id="0"/>
    <w:p w:rsidR="00884322" w:rsidRPr="00884322" w:rsidRDefault="00884322" w:rsidP="00884322">
      <w:pPr>
        <w:spacing w:before="120" w:after="240"/>
      </w:pPr>
    </w:p>
    <w:sectPr w:rsidR="00884322" w:rsidRPr="00884322"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2"/>
    <w:rsid w:val="00016CA3"/>
    <w:rsid w:val="00884322"/>
    <w:rsid w:val="00EE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3EBC"/>
  <w15:chartTrackingRefBased/>
  <w15:docId w15:val="{8F4A623A-160A-4CE1-85EC-62D81A1B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3784">
      <w:bodyDiv w:val="1"/>
      <w:marLeft w:val="0"/>
      <w:marRight w:val="0"/>
      <w:marTop w:val="0"/>
      <w:marBottom w:val="0"/>
      <w:divBdr>
        <w:top w:val="none" w:sz="0" w:space="0" w:color="auto"/>
        <w:left w:val="none" w:sz="0" w:space="0" w:color="auto"/>
        <w:bottom w:val="none" w:sz="0" w:space="0" w:color="auto"/>
        <w:right w:val="none" w:sz="0" w:space="0" w:color="auto"/>
      </w:divBdr>
      <w:divsChild>
        <w:div w:id="1676609173">
          <w:marLeft w:val="0"/>
          <w:marRight w:val="0"/>
          <w:marTop w:val="0"/>
          <w:marBottom w:val="0"/>
          <w:divBdr>
            <w:top w:val="none" w:sz="0" w:space="0" w:color="auto"/>
            <w:left w:val="none" w:sz="0" w:space="0" w:color="auto"/>
            <w:bottom w:val="none" w:sz="0" w:space="0" w:color="auto"/>
            <w:right w:val="none" w:sz="0" w:space="0" w:color="auto"/>
          </w:divBdr>
          <w:divsChild>
            <w:div w:id="1128401144">
              <w:marLeft w:val="0"/>
              <w:marRight w:val="0"/>
              <w:marTop w:val="0"/>
              <w:marBottom w:val="0"/>
              <w:divBdr>
                <w:top w:val="none" w:sz="0" w:space="0" w:color="auto"/>
                <w:left w:val="none" w:sz="0" w:space="0" w:color="auto"/>
                <w:bottom w:val="none" w:sz="0" w:space="0" w:color="auto"/>
                <w:right w:val="none" w:sz="0" w:space="0" w:color="auto"/>
              </w:divBdr>
              <w:divsChild>
                <w:div w:id="783037589">
                  <w:marLeft w:val="0"/>
                  <w:marRight w:val="0"/>
                  <w:marTop w:val="0"/>
                  <w:marBottom w:val="0"/>
                  <w:divBdr>
                    <w:top w:val="none" w:sz="0" w:space="0" w:color="auto"/>
                    <w:left w:val="none" w:sz="0" w:space="0" w:color="auto"/>
                    <w:bottom w:val="none" w:sz="0" w:space="0" w:color="auto"/>
                    <w:right w:val="none" w:sz="0" w:space="0" w:color="auto"/>
                  </w:divBdr>
                </w:div>
              </w:divsChild>
            </w:div>
            <w:div w:id="501821196">
              <w:marLeft w:val="0"/>
              <w:marRight w:val="0"/>
              <w:marTop w:val="0"/>
              <w:marBottom w:val="0"/>
              <w:divBdr>
                <w:top w:val="none" w:sz="0" w:space="0" w:color="auto"/>
                <w:left w:val="none" w:sz="0" w:space="0" w:color="auto"/>
                <w:bottom w:val="none" w:sz="0" w:space="0" w:color="auto"/>
                <w:right w:val="none" w:sz="0" w:space="0" w:color="auto"/>
              </w:divBdr>
            </w:div>
          </w:divsChild>
        </w:div>
        <w:div w:id="114299974">
          <w:marLeft w:val="0"/>
          <w:marRight w:val="0"/>
          <w:marTop w:val="0"/>
          <w:marBottom w:val="0"/>
          <w:divBdr>
            <w:top w:val="none" w:sz="0" w:space="0" w:color="auto"/>
            <w:left w:val="none" w:sz="0" w:space="0" w:color="auto"/>
            <w:bottom w:val="none" w:sz="0" w:space="0" w:color="auto"/>
            <w:right w:val="none" w:sz="0" w:space="0" w:color="auto"/>
          </w:divBdr>
          <w:divsChild>
            <w:div w:id="1002858776">
              <w:marLeft w:val="0"/>
              <w:marRight w:val="0"/>
              <w:marTop w:val="0"/>
              <w:marBottom w:val="0"/>
              <w:divBdr>
                <w:top w:val="none" w:sz="0" w:space="0" w:color="auto"/>
                <w:left w:val="none" w:sz="0" w:space="0" w:color="auto"/>
                <w:bottom w:val="none" w:sz="0" w:space="0" w:color="auto"/>
                <w:right w:val="none" w:sz="0" w:space="0" w:color="auto"/>
              </w:divBdr>
              <w:divsChild>
                <w:div w:id="494959072">
                  <w:marLeft w:val="0"/>
                  <w:marRight w:val="0"/>
                  <w:marTop w:val="0"/>
                  <w:marBottom w:val="0"/>
                  <w:divBdr>
                    <w:top w:val="none" w:sz="0" w:space="0" w:color="auto"/>
                    <w:left w:val="none" w:sz="0" w:space="0" w:color="auto"/>
                    <w:bottom w:val="none" w:sz="0" w:space="0" w:color="auto"/>
                    <w:right w:val="none" w:sz="0" w:space="0" w:color="auto"/>
                  </w:divBdr>
                </w:div>
              </w:divsChild>
            </w:div>
            <w:div w:id="1875649475">
              <w:marLeft w:val="0"/>
              <w:marRight w:val="0"/>
              <w:marTop w:val="0"/>
              <w:marBottom w:val="0"/>
              <w:divBdr>
                <w:top w:val="none" w:sz="0" w:space="0" w:color="auto"/>
                <w:left w:val="none" w:sz="0" w:space="0" w:color="auto"/>
                <w:bottom w:val="none" w:sz="0" w:space="0" w:color="auto"/>
                <w:right w:val="none" w:sz="0" w:space="0" w:color="auto"/>
              </w:divBdr>
            </w:div>
          </w:divsChild>
        </w:div>
        <w:div w:id="786389619">
          <w:marLeft w:val="0"/>
          <w:marRight w:val="0"/>
          <w:marTop w:val="0"/>
          <w:marBottom w:val="0"/>
          <w:divBdr>
            <w:top w:val="none" w:sz="0" w:space="0" w:color="auto"/>
            <w:left w:val="none" w:sz="0" w:space="0" w:color="auto"/>
            <w:bottom w:val="none" w:sz="0" w:space="0" w:color="auto"/>
            <w:right w:val="none" w:sz="0" w:space="0" w:color="auto"/>
          </w:divBdr>
          <w:divsChild>
            <w:div w:id="556287645">
              <w:marLeft w:val="0"/>
              <w:marRight w:val="0"/>
              <w:marTop w:val="0"/>
              <w:marBottom w:val="0"/>
              <w:divBdr>
                <w:top w:val="none" w:sz="0" w:space="0" w:color="auto"/>
                <w:left w:val="none" w:sz="0" w:space="0" w:color="auto"/>
                <w:bottom w:val="none" w:sz="0" w:space="0" w:color="auto"/>
                <w:right w:val="none" w:sz="0" w:space="0" w:color="auto"/>
              </w:divBdr>
              <w:divsChild>
                <w:div w:id="1150949262">
                  <w:marLeft w:val="0"/>
                  <w:marRight w:val="0"/>
                  <w:marTop w:val="0"/>
                  <w:marBottom w:val="0"/>
                  <w:divBdr>
                    <w:top w:val="none" w:sz="0" w:space="0" w:color="auto"/>
                    <w:left w:val="none" w:sz="0" w:space="0" w:color="auto"/>
                    <w:bottom w:val="none" w:sz="0" w:space="0" w:color="auto"/>
                    <w:right w:val="none" w:sz="0" w:space="0" w:color="auto"/>
                  </w:divBdr>
                </w:div>
              </w:divsChild>
            </w:div>
            <w:div w:id="548996004">
              <w:marLeft w:val="0"/>
              <w:marRight w:val="0"/>
              <w:marTop w:val="0"/>
              <w:marBottom w:val="0"/>
              <w:divBdr>
                <w:top w:val="none" w:sz="0" w:space="0" w:color="auto"/>
                <w:left w:val="none" w:sz="0" w:space="0" w:color="auto"/>
                <w:bottom w:val="none" w:sz="0" w:space="0" w:color="auto"/>
                <w:right w:val="none" w:sz="0" w:space="0" w:color="auto"/>
              </w:divBdr>
            </w:div>
          </w:divsChild>
        </w:div>
        <w:div w:id="929657555">
          <w:marLeft w:val="0"/>
          <w:marRight w:val="0"/>
          <w:marTop w:val="0"/>
          <w:marBottom w:val="0"/>
          <w:divBdr>
            <w:top w:val="none" w:sz="0" w:space="0" w:color="auto"/>
            <w:left w:val="none" w:sz="0" w:space="0" w:color="auto"/>
            <w:bottom w:val="none" w:sz="0" w:space="0" w:color="auto"/>
            <w:right w:val="none" w:sz="0" w:space="0" w:color="auto"/>
          </w:divBdr>
          <w:divsChild>
            <w:div w:id="694693331">
              <w:marLeft w:val="0"/>
              <w:marRight w:val="0"/>
              <w:marTop w:val="0"/>
              <w:marBottom w:val="0"/>
              <w:divBdr>
                <w:top w:val="none" w:sz="0" w:space="0" w:color="auto"/>
                <w:left w:val="none" w:sz="0" w:space="0" w:color="auto"/>
                <w:bottom w:val="none" w:sz="0" w:space="0" w:color="auto"/>
                <w:right w:val="none" w:sz="0" w:space="0" w:color="auto"/>
              </w:divBdr>
              <w:divsChild>
                <w:div w:id="241066716">
                  <w:marLeft w:val="0"/>
                  <w:marRight w:val="0"/>
                  <w:marTop w:val="0"/>
                  <w:marBottom w:val="0"/>
                  <w:divBdr>
                    <w:top w:val="none" w:sz="0" w:space="0" w:color="auto"/>
                    <w:left w:val="none" w:sz="0" w:space="0" w:color="auto"/>
                    <w:bottom w:val="none" w:sz="0" w:space="0" w:color="auto"/>
                    <w:right w:val="none" w:sz="0" w:space="0" w:color="auto"/>
                  </w:divBdr>
                </w:div>
              </w:divsChild>
            </w:div>
            <w:div w:id="389156846">
              <w:marLeft w:val="0"/>
              <w:marRight w:val="0"/>
              <w:marTop w:val="0"/>
              <w:marBottom w:val="0"/>
              <w:divBdr>
                <w:top w:val="none" w:sz="0" w:space="0" w:color="auto"/>
                <w:left w:val="none" w:sz="0" w:space="0" w:color="auto"/>
                <w:bottom w:val="none" w:sz="0" w:space="0" w:color="auto"/>
                <w:right w:val="none" w:sz="0" w:space="0" w:color="auto"/>
              </w:divBdr>
            </w:div>
          </w:divsChild>
        </w:div>
        <w:div w:id="1164779087">
          <w:marLeft w:val="0"/>
          <w:marRight w:val="0"/>
          <w:marTop w:val="0"/>
          <w:marBottom w:val="0"/>
          <w:divBdr>
            <w:top w:val="none" w:sz="0" w:space="0" w:color="auto"/>
            <w:left w:val="none" w:sz="0" w:space="0" w:color="auto"/>
            <w:bottom w:val="none" w:sz="0" w:space="0" w:color="auto"/>
            <w:right w:val="none" w:sz="0" w:space="0" w:color="auto"/>
          </w:divBdr>
          <w:divsChild>
            <w:div w:id="1860581746">
              <w:marLeft w:val="0"/>
              <w:marRight w:val="0"/>
              <w:marTop w:val="0"/>
              <w:marBottom w:val="0"/>
              <w:divBdr>
                <w:top w:val="none" w:sz="0" w:space="0" w:color="auto"/>
                <w:left w:val="none" w:sz="0" w:space="0" w:color="auto"/>
                <w:bottom w:val="none" w:sz="0" w:space="0" w:color="auto"/>
                <w:right w:val="none" w:sz="0" w:space="0" w:color="auto"/>
              </w:divBdr>
              <w:divsChild>
                <w:div w:id="679744156">
                  <w:marLeft w:val="0"/>
                  <w:marRight w:val="0"/>
                  <w:marTop w:val="0"/>
                  <w:marBottom w:val="0"/>
                  <w:divBdr>
                    <w:top w:val="none" w:sz="0" w:space="0" w:color="auto"/>
                    <w:left w:val="none" w:sz="0" w:space="0" w:color="auto"/>
                    <w:bottom w:val="none" w:sz="0" w:space="0" w:color="auto"/>
                    <w:right w:val="none" w:sz="0" w:space="0" w:color="auto"/>
                  </w:divBdr>
                </w:div>
              </w:divsChild>
            </w:div>
            <w:div w:id="14005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2020-08-27T06:48:00Z</dcterms:created>
  <dcterms:modified xsi:type="dcterms:W3CDTF">2020-08-27T06:52:00Z</dcterms:modified>
</cp:coreProperties>
</file>