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FC" w:rsidRDefault="003228FC" w:rsidP="00F50996">
      <w:pPr>
        <w:spacing w:before="120" w:after="120" w:line="240" w:lineRule="auto"/>
        <w:jc w:val="center"/>
        <w:rPr>
          <w:rFonts w:cs="Times New Roman"/>
          <w:b/>
          <w:sz w:val="24"/>
          <w:szCs w:val="24"/>
        </w:rPr>
      </w:pPr>
      <w:r w:rsidRPr="003228FC">
        <w:rPr>
          <w:rFonts w:cs="Times New Roman"/>
          <w:b/>
          <w:sz w:val="24"/>
          <w:szCs w:val="24"/>
        </w:rPr>
        <w:t>ÁN LỆ SỐ 10/2016/AL</w:t>
      </w:r>
    </w:p>
    <w:p w:rsidR="00F50996" w:rsidRPr="00077C2C" w:rsidRDefault="00F50996" w:rsidP="00F50996">
      <w:pPr>
        <w:spacing w:before="120" w:after="120" w:line="240" w:lineRule="auto"/>
        <w:jc w:val="center"/>
        <w:rPr>
          <w:rFonts w:cs="Times New Roman"/>
          <w:sz w:val="24"/>
          <w:szCs w:val="24"/>
        </w:rPr>
      </w:pPr>
      <w:r>
        <w:rPr>
          <w:rFonts w:cs="Times New Roman"/>
          <w:sz w:val="24"/>
          <w:szCs w:val="24"/>
        </w:rPr>
        <w:t>Án lệ số 10/2016/AL</w:t>
      </w:r>
      <w:r w:rsidRPr="00077C2C">
        <w:rPr>
          <w:rFonts w:cs="Times New Roman"/>
          <w:sz w:val="24"/>
          <w:szCs w:val="24"/>
        </w:rPr>
        <w:t xml:space="preserve"> được Hội đồng Thẩm phán Tòa án nhân dân tố</w:t>
      </w:r>
      <w:r>
        <w:rPr>
          <w:rFonts w:cs="Times New Roman"/>
          <w:sz w:val="24"/>
          <w:szCs w:val="24"/>
        </w:rPr>
        <w:t>i cao thông qua ngày 01 tháng 12</w:t>
      </w:r>
      <w:r w:rsidRPr="00077C2C">
        <w:rPr>
          <w:rFonts w:cs="Times New Roman"/>
          <w:sz w:val="24"/>
          <w:szCs w:val="24"/>
        </w:rPr>
        <w:t xml:space="preserve"> năm 2016 và được công bố theo </w:t>
      </w:r>
      <w:r w:rsidRPr="001903A0">
        <w:rPr>
          <w:rFonts w:cs="Times New Roman"/>
          <w:sz w:val="24"/>
          <w:szCs w:val="24"/>
        </w:rPr>
        <w:t>Quyết định 698/QĐ-CA năm 2016</w:t>
      </w:r>
      <w:r w:rsidRPr="00077C2C">
        <w:rPr>
          <w:rFonts w:cs="Times New Roman"/>
          <w:sz w:val="24"/>
          <w:szCs w:val="24"/>
        </w:rPr>
        <w:t xml:space="preserve"> của Chánh án Tòa án nhân dân tối cao.</w:t>
      </w:r>
    </w:p>
    <w:p w:rsidR="003228FC" w:rsidRPr="00F50996" w:rsidRDefault="003228FC" w:rsidP="00F50996">
      <w:pPr>
        <w:spacing w:before="120" w:after="120" w:line="240" w:lineRule="auto"/>
        <w:jc w:val="center"/>
        <w:rPr>
          <w:rFonts w:cs="Times New Roman"/>
          <w:b/>
          <w:sz w:val="24"/>
          <w:szCs w:val="24"/>
        </w:rPr>
      </w:pPr>
      <w:r w:rsidRPr="00F50996">
        <w:rPr>
          <w:rFonts w:cs="Times New Roman"/>
          <w:b/>
          <w:sz w:val="24"/>
          <w:szCs w:val="24"/>
        </w:rPr>
        <w:t>KHÁI QUÁT ÁN LỆ</w:t>
      </w:r>
    </w:p>
    <w:p w:rsidR="003228FC" w:rsidRPr="003228FC" w:rsidRDefault="003228FC" w:rsidP="00F50996">
      <w:pPr>
        <w:spacing w:before="120" w:after="120" w:line="240" w:lineRule="auto"/>
        <w:jc w:val="both"/>
        <w:rPr>
          <w:rFonts w:cs="Times New Roman"/>
          <w:sz w:val="24"/>
          <w:szCs w:val="24"/>
        </w:rPr>
      </w:pPr>
      <w:r w:rsidRPr="003228FC">
        <w:rPr>
          <w:rFonts w:cs="Times New Roman"/>
          <w:sz w:val="24"/>
          <w:szCs w:val="24"/>
        </w:rPr>
        <w:t>- Tình huống án lệ:</w:t>
      </w:r>
    </w:p>
    <w:p w:rsidR="003228FC" w:rsidRPr="003228FC" w:rsidRDefault="003228FC" w:rsidP="00F50996">
      <w:pPr>
        <w:spacing w:before="120" w:after="120" w:line="240" w:lineRule="auto"/>
        <w:jc w:val="both"/>
        <w:rPr>
          <w:rFonts w:cs="Times New Roman"/>
          <w:sz w:val="24"/>
          <w:szCs w:val="24"/>
        </w:rPr>
      </w:pPr>
      <w:r w:rsidRPr="003228FC">
        <w:rPr>
          <w:rFonts w:cs="Times New Roman"/>
          <w:sz w:val="24"/>
          <w:szCs w:val="24"/>
        </w:rPr>
        <w:t>Quyết định về việc phê duyệt phương án hỗ trợ và tái định cư của Ủy ban nhân dân tỉnh có nội dung dẫn chiếu đến văn bản khác mà văn bản đó có nội dung tác động trực tiếp đến quyền và lợi ích của người khởi kiện.</w:t>
      </w:r>
    </w:p>
    <w:p w:rsidR="003228FC" w:rsidRPr="003228FC" w:rsidRDefault="003228FC" w:rsidP="00F50996">
      <w:pPr>
        <w:spacing w:before="120" w:after="120" w:line="240" w:lineRule="auto"/>
        <w:jc w:val="both"/>
        <w:rPr>
          <w:rFonts w:cs="Times New Roman"/>
          <w:sz w:val="24"/>
          <w:szCs w:val="24"/>
        </w:rPr>
      </w:pPr>
      <w:r w:rsidRPr="003228FC">
        <w:rPr>
          <w:rFonts w:cs="Times New Roman"/>
          <w:sz w:val="24"/>
          <w:szCs w:val="24"/>
        </w:rPr>
        <w:t>- Giải pháp pháp lý:</w:t>
      </w:r>
    </w:p>
    <w:p w:rsidR="003228FC" w:rsidRPr="003228FC" w:rsidRDefault="003228FC" w:rsidP="00F50996">
      <w:pPr>
        <w:spacing w:before="120" w:after="120" w:line="240" w:lineRule="auto"/>
        <w:jc w:val="both"/>
        <w:rPr>
          <w:rFonts w:cs="Times New Roman"/>
          <w:sz w:val="24"/>
          <w:szCs w:val="24"/>
        </w:rPr>
      </w:pPr>
      <w:r w:rsidRPr="003228FC">
        <w:rPr>
          <w:rFonts w:cs="Times New Roman"/>
          <w:sz w:val="24"/>
          <w:szCs w:val="24"/>
        </w:rPr>
        <w:t>Trường hợp này, nội dung của văn bản được dẫn chiếu thuộc quyết định hành chính và quyết định hành chính đó là đối tượng khởi kiện vụ án hành chính.</w:t>
      </w:r>
    </w:p>
    <w:p w:rsidR="003228FC" w:rsidRPr="003228FC" w:rsidRDefault="003228FC" w:rsidP="00F50996">
      <w:pPr>
        <w:spacing w:before="120" w:after="120" w:line="240" w:lineRule="auto"/>
        <w:jc w:val="center"/>
        <w:rPr>
          <w:rFonts w:cs="Times New Roman"/>
          <w:b/>
          <w:sz w:val="24"/>
          <w:szCs w:val="24"/>
        </w:rPr>
      </w:pPr>
      <w:r w:rsidRPr="003228FC">
        <w:rPr>
          <w:rFonts w:cs="Times New Roman"/>
          <w:b/>
          <w:sz w:val="24"/>
          <w:szCs w:val="24"/>
        </w:rPr>
        <w:t>NỘI DUNG VỤ ÁN</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Ngày 07-4-2008, Ủy ban nhân dân tỉnh Vĩnh Long ban hành Quyết định số 567/QĐ-UBND về việc phê duyệt phương án tổng thể về bồi thường, hỗ trợ và tái định cư dự án xây dựng Trại giống vật nuôi nông nghiệp tỉnh Vĩnh Long tại xã Tân An Luông, huyện Vũng Liêm, có nội dung:</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“Phê duyệt phương án tổng thể về bồi thường, hỗ trợ và tái định cư dự án xây dựng Trại giống vật nuôi nông nghiệp tỉnh Vĩnh Long:</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Tổng diện tích đất dự kiến thu hồi: 122.909m²</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Tổng giá trị bồi thường dự kiến: 7.342.730.000đ”.</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Ngày 17-9-2008, Ủy ban nhân dân tỉnh Vĩnh Long ban hành Quyết định số 1768/QĐ-UBND nội dung: Thu hồi 117.863,1m² đất tại xã Tân An Luông, huyện Vũng Liêm do hộ gia đình, cá nhân và tổ chức quản lý sử dụng để thực hiện dự án xây dựng trại giống vật nuôi nông nghiệp tỉnh và giao cho Ủy ban nhân dân huyện Vũng Liêm quyết định thu hồi đất.</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Ngày 02-10-2008, Ủy ban nhân dân huyện Vũng Liêm ban hành Quyết định số 2592/QĐ-UBND nội dung: Thu hồi 2.353,1m² đất của bà Võ Thị Lựu, chiết thửa số 222, loại đất trồng lúa thuộc tờ bản đồ số 03, tọa lạc tại ấp Rạch Cốc, xã Tân An Luông, huyện Vũng Liêm để xây dựng trại giống vật nuôi nông nghiệp tỉnh Vĩnh Long.</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Ngày 01-12-2008, Ban bồi thường, hỗ trợ và tái định cư huyện Vũng Liêm tiến hành lập tờ khai và kiểm kê về nhà, đất, cây trồng và vật kiến trúc của các hộ bị ảnh hưởng giải tỏa thuộc dự án xây dựng Trại giống vật nuôi nông nghiệp tỉnh.</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Ngày 15-5-2009, Sở Tài chính tỉnh Vĩnh Long có Tờ trình số 177/TTr.STC gửi Ủy ban nhân dân tỉnh Vĩnh Long về việc xin phê duyệt phương án đền bù giải tỏa mặt bằng công trình Trại giống vật nuôi nông nghiệp tỉnh Vĩnh Long, theo đó hộ bà Lựu được bồi thường hỗ trợ về đất số tiền là 155.155.000đ (theo quyết định thì giá đất bồi thường cho bà Lựu với giá là 50.000đ/m²); bồi thường hỗ trợ về tài sản trên đất, ổn định cuộc sống và đào tạo nghề số tiền là 19.286.200đ; tổng số tiền là 174.441.200đ.</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Ngày 04-6-2009, Chủ tịch Ủy ban nhân dân tỉnh Vĩnh Long ban hành Quyết định số 1216/QĐ-UBND về việc phê duyệt phương án bồi thường, hỗ trợ và tái định cư công trình Trại giống vật nuôi nông nghiệp tỉnh tại xã Tân An Luông, huyện Vũng Liêm, nội dung:</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lastRenderedPageBreak/>
        <w:t>“Điều 1. Phê duyệt phương án bồi thường, hỗ trợ và tái định cư công trình: Trại giống vật nuôi nông nghiệp tỉnh, tại xã Tân An Luông, huyện Vũng Liêm;</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1. Tổng giá trị bồi thường, hỗ trợ và tái định cư: 9.467.085.000đ, bao gồm:</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 Giá trị bồi thường, hỗ trợ về đất: 8.071.914.000đ</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 Giá trị nhà và vật kiến trúc: 161.560.000đ</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 Giá trị cây trồng: 273.152.000đ</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 Các khoản hỗ trợ: 654.600.000đ</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 Các phí khác (chi phí các hội đồng 2%, chi phí đo đạc): 305.859.000đ</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2. Kinh phí: Trong tổng dự toán công trình do chủ đầu tư chi trả;</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Điều 2. Căn cứ vào Điều 1 của Quyết định này, Giám đốc Sở Tài chính, Chủ tịch Ủy ban nhân dân huyện Vũng Liêm, Hội đồng bồi thường, hỗ trợ và tái định cư huyện Vũng Liêm có trách nhiệm:</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 Chủ tịch Ủy ban nhân dân huyện Vũng Liêm chỉ đạo Hội đồng bồi thường, hỗ trợ và tái định cư huyện Vũng Liêm tổ chức chi trả bồi thường đúng theo quy định hiện hành của Nhà nước và giải phóng mặt bằng cho đơn vị thi công,</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 Giám đốc Sở Tài chính chịu trách nhiệm trước ủy ban nhân dân tỉnh về kết quả các số liệu, khối lượng và đơn giá, trong tờ trình số 177/TTr.STC ngày 15/5/2009”.</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Không đồng ý với quyết định nêu trên, bà Lựu có đơn khiếu nại yêu cầu nâng giá bồi thường.</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Ngày 28-10-2009, Chủ tịch Ủy ban nhân dân huyện Vũng Liêm ban hành Quyết định số 2023/QĐ-UBND không chấp nhận khiếu nại của bà Lựu.</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Ngày 08-8-2011, bà Lựu có đơn khởi kiện tại Tòa án nhân dân tỉnh Vĩnh Long yêu cầu hủy Quyết định số 1216/QĐ-UBND ngày 04-6-2009 của Ủy ban nhân dân tỉnh Vĩnh Long đối với phần áp giá, bồi thường; yêu cầu giải quyết lại nâng giá bồi thường đất bằng với giá thị trường chuyển nhượng ở nơi có đất thu hồi.</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Tại Bản án hành chính sơ thẩm số 12/2012/HC-ST ngày 18-12-2012, Tòa án nhân dân tỉnh Vĩnh Long đã bác yêu cầu khởi kiện của bà Võ Thị Lựu.</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Ngày 29-12-2012, bà Lựu có đơn kháng cáo.</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Tại Bản án hành chính phúc thẩm số 96/2013/HCPT ngày 25-4-2013, Tòa phúc thẩm Tòa án nhân dân tối cao tại thành phố Hồ Chí Minh đã hủy Bản án hành chính sơ thẩm số 12/2012/HCST ngày 18-12-2012 của Tòa án nhân dân tỉnh Vĩnh Long và đình chỉ giải quyết vụ án.</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Ngày 28-6-2013, Ủy ban nhân dân tỉnh Vĩnh Long có Công văn số 1816/UBND-NC và ngày 02-8-2013, Ủy ban Thẩm phán Tòa án nhân dân tỉnh Vĩnh Long có Công văn số 547/TAT-HC đề nghị giám đốc thẩm Bản án hành chính phúc thẩm nêu trên.</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 xml:space="preserve">Tại Quyết định số 05/2014/KN-HC ngày 05-3-2014, Chánh án Tòa án nhân dân tối cao đã kháng nghị Bản án hành chính phúc thẩm số 96/2013/HC-PT ngày 25-4-2013 của Tòa phúc thẩm Tòa án nhân dân tối cao tại thành phố Hồ Chí Minh; đề nghị Hội đồng Thẩm phán Tòa án </w:t>
      </w:r>
      <w:r w:rsidRPr="003228FC">
        <w:rPr>
          <w:rFonts w:cs="Times New Roman"/>
          <w:sz w:val="24"/>
          <w:szCs w:val="24"/>
        </w:rPr>
        <w:lastRenderedPageBreak/>
        <w:t>nhân dân tối cao xét xử giám đốc thẩm hủy Bản án hành chính phúc thẩm nêu trên và giao hồ sơ vụ án cho Tòa phúc thẩm Tòa án nhân dân tối cao tại thành phố Hồ Chí Minh xét xử phúc thẩm lại.</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Tại phiên tòa giám đốc thẩm, Đại diện viện kiểm sát nhân dân tối cao nhất trí với Kháng nghị của Chánh án Tòa án nhân dân tối cao.</w:t>
      </w:r>
    </w:p>
    <w:p w:rsidR="003228FC" w:rsidRPr="003228FC" w:rsidRDefault="003228FC" w:rsidP="00F50996">
      <w:pPr>
        <w:spacing w:before="120" w:after="120" w:line="240" w:lineRule="auto"/>
        <w:jc w:val="center"/>
        <w:rPr>
          <w:rFonts w:cs="Times New Roman"/>
          <w:b/>
          <w:sz w:val="24"/>
          <w:szCs w:val="24"/>
        </w:rPr>
      </w:pPr>
      <w:r w:rsidRPr="003228FC">
        <w:rPr>
          <w:rFonts w:cs="Times New Roman"/>
          <w:b/>
          <w:sz w:val="24"/>
          <w:szCs w:val="24"/>
        </w:rPr>
        <w:t>QUYẾT ĐỊ</w:t>
      </w:r>
      <w:r w:rsidRPr="003228FC">
        <w:rPr>
          <w:rFonts w:cs="Times New Roman"/>
          <w:b/>
          <w:sz w:val="24"/>
          <w:szCs w:val="24"/>
        </w:rPr>
        <w:t>NH</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1. Chấp nhận Kháng nghị số 05/2014/KN-HC ngày 05-3-2014 của Chánh án Tòa án nhân dân tối cao.</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2. Hủy Bản án hành chính phúc thẩm số 96/2013/HC-PT ngày 25-4-2013 cùa Tòa phúc thẩm Tòa án nhân dân tối cao tại thành phố Hồ Chí Minh và Bản án hành chính sơ thẩm số 12/2012/HC-ST ngày 18-12-2012 của Tòa án nhân dân tỉnh Vĩnh Long; giao hồ sơ vụ án về Tòa án nhân dân tỉnh Vĩnh Long xét xử sơ thẩm lại theo quy định của pháp luật.</w:t>
      </w:r>
    </w:p>
    <w:p w:rsidR="003228FC" w:rsidRPr="003228FC" w:rsidRDefault="003228FC" w:rsidP="00F50996">
      <w:pPr>
        <w:spacing w:before="120" w:after="120" w:line="240" w:lineRule="auto"/>
        <w:jc w:val="center"/>
        <w:rPr>
          <w:rFonts w:cs="Times New Roman"/>
          <w:b/>
          <w:sz w:val="24"/>
          <w:szCs w:val="24"/>
        </w:rPr>
      </w:pPr>
      <w:r w:rsidRPr="003228FC">
        <w:rPr>
          <w:rFonts w:cs="Times New Roman"/>
          <w:b/>
          <w:sz w:val="24"/>
          <w:szCs w:val="24"/>
        </w:rPr>
        <w:t>NHẬN ĐỊNH CỦA TÒA ÁN</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Theo Điều 2 của Quyết định số 1216/QĐ-UBND ngày 04-6-2009 của Ủy ban nhân dân tỉnh Vĩnh Long về việc phê duyệt phương án bồi thường, hỗ trợ và tái định cư công trình Trại giống vật nuôi nông nghiệp tỉnh có quy định “Giám đốc Sở Tài chính chịu trách nhiệm trước Ủy ban nhân dân tỉnh về kết quả các số liệu, khối lượng và đơn giá, trong tờ trình số 177/TTr.STC ngày 15-5-2009”. Theo Tờ trình 177/TTr ngày 15-5-2009 của Sở Tài chính có quy định phần bồi thường cụ thể cho hộ bà Lựu, nên phần phê duyệt đó tác động trực tiếp, cụ thể đến quyền và lợi ích của hộ bà Lựu, là đối tượng khởi kiện vụ án hành chính.</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Vì vậy, Tòa án nhân dân tỉnh Vĩnh Long đã thụ lý giải quyết yêu cầu khởi kiện của bà Lựu về phần bồi thường hỗ trợ cho gia đình bà trong Quyết định số 1216/QĐ-UBND ngày 04-6-2009 là đúng với quy định tại khoản 1 Điều 3 và khoản 1 Điều 28 Luật Tố tụng hành chính. Tuy nhiên, Tòa án cấp sơ thẩm chưa xem xét làm rõ mục đích của việc thu hồi đất để xây dựng trại giống vật nuôi nông nghiệp tỉnh Vĩnh Long là cơ sở kinh tế của Nhà nước hay của tư nhân để làm cơ sở giải quyết bồi thường, hỗ trợ khi thu hồi đất của gia đình bà Lựu theo đúng quy định của pháp luật.</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Bà Lựu kháng cáo yêu cầu được bồi thường về đất theo giá thị trường. Trong trường hợp này, Tòa án cấp phúc thẩm phải xem xét đơn kháng cáo của bà Lựu về vấn đề bồi thường, hỗ trợ khi thu hồi đất cho gia đình bà Lựu có đúng quy định của pháp luật không, nhưng lại cho rằng Quyết định số 1216/QĐ-UBND ngày 04-6-2009 của Ủy ban nhân dân tỉnh Vĩnh Long là quyết định mang tính tổng thể, không phải là đối tượng khởi kiện vụ án hành chính nên đã xử hủy Bản án hành chính sơ thẩm số 12/2012/HC-ST ngày 18-12-2012 của Tòa án nhân dân tỉnh Vĩnh Long và đình chỉ giải quyết vụ án là sai lầm nghiêm trọng trong việc áp dụng pháp luật tố tụng hành chính.</w:t>
      </w:r>
    </w:p>
    <w:p w:rsidR="003228FC" w:rsidRPr="003228FC" w:rsidRDefault="003228FC" w:rsidP="00F50996">
      <w:pPr>
        <w:spacing w:before="120" w:after="240" w:line="240" w:lineRule="auto"/>
        <w:jc w:val="both"/>
        <w:rPr>
          <w:rFonts w:cs="Times New Roman"/>
          <w:sz w:val="24"/>
          <w:szCs w:val="24"/>
        </w:rPr>
      </w:pPr>
      <w:r w:rsidRPr="003228FC">
        <w:rPr>
          <w:rFonts w:cs="Times New Roman"/>
          <w:sz w:val="24"/>
          <w:szCs w:val="24"/>
        </w:rPr>
        <w:t>Bởi các lẽ trên và căn cứ khoản 3 Điều 219, khoản 3 Điều 225, khoản 1, 2 Điều 227 Luật tố tụng hành chính,</w:t>
      </w:r>
    </w:p>
    <w:p w:rsidR="003228FC" w:rsidRPr="003228FC" w:rsidRDefault="003228FC" w:rsidP="00F50996">
      <w:pPr>
        <w:spacing w:before="120" w:after="120" w:line="240" w:lineRule="auto"/>
        <w:jc w:val="center"/>
        <w:rPr>
          <w:rFonts w:cs="Times New Roman"/>
          <w:b/>
          <w:sz w:val="24"/>
          <w:szCs w:val="24"/>
        </w:rPr>
      </w:pPr>
      <w:r w:rsidRPr="003228FC">
        <w:rPr>
          <w:rFonts w:cs="Times New Roman"/>
          <w:b/>
          <w:sz w:val="24"/>
          <w:szCs w:val="24"/>
        </w:rPr>
        <w:t>NỘI DUNG ÁN LỆ</w:t>
      </w:r>
    </w:p>
    <w:p w:rsidR="005674E0" w:rsidRPr="003228FC" w:rsidRDefault="003228FC" w:rsidP="00F50996">
      <w:pPr>
        <w:spacing w:before="120" w:after="240" w:line="240" w:lineRule="auto"/>
        <w:jc w:val="both"/>
        <w:rPr>
          <w:rFonts w:cs="Times New Roman"/>
          <w:sz w:val="24"/>
          <w:szCs w:val="24"/>
        </w:rPr>
      </w:pPr>
      <w:r w:rsidRPr="003228FC">
        <w:rPr>
          <w:rFonts w:cs="Times New Roman"/>
          <w:sz w:val="24"/>
          <w:szCs w:val="24"/>
        </w:rPr>
        <w:t xml:space="preserve">“Theo Điều 2 của Quyết định số 1216/QĐ-UBND ngày 04-6-2009 của Ủy ban nhân dân tỉnh Vĩnh Long về việc phê duyệt phương án bồi thường, hỗ trợ và tái định cư công trình Trại giống vật nuôi nông nghiệp tỉnh có quy định “Giám đốc Sở Tài chính chịu trách nhiệm trước Ủy ban nhân dân tỉnh về kết quả các số liệu, khối lượng và đơn giá, trong tờ trình số 177/TTr.STC ngày 15-5-2009”. Theo Tờ trình 177/TTr ngày 15-5-2009 của Sở Tài chính có quy định phần bồi </w:t>
      </w:r>
      <w:r w:rsidRPr="003228FC">
        <w:rPr>
          <w:rFonts w:cs="Times New Roman"/>
          <w:sz w:val="24"/>
          <w:szCs w:val="24"/>
        </w:rPr>
        <w:lastRenderedPageBreak/>
        <w:t>thường cụ thể cho hộ bà Lựu, nên phần phê duyệt đó tác động</w:t>
      </w:r>
      <w:bookmarkStart w:id="0" w:name="_GoBack"/>
      <w:bookmarkEnd w:id="0"/>
      <w:r w:rsidRPr="003228FC">
        <w:rPr>
          <w:rFonts w:cs="Times New Roman"/>
          <w:sz w:val="24"/>
          <w:szCs w:val="24"/>
        </w:rPr>
        <w:t xml:space="preserve"> trực tiếp, cụ thể đến quyền và lợi ích của hộ bà Lựu, là đối tượng khởi kiện vụ án hành chính”.</w:t>
      </w:r>
    </w:p>
    <w:sectPr w:rsidR="005674E0" w:rsidRPr="003228FC" w:rsidSect="00016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FC"/>
    <w:rsid w:val="00016CA3"/>
    <w:rsid w:val="003228FC"/>
    <w:rsid w:val="005674E0"/>
    <w:rsid w:val="00F5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DDDD"/>
  <w15:chartTrackingRefBased/>
  <w15:docId w15:val="{0270043F-FC39-43FA-A587-26CCDC3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568330">
      <w:bodyDiv w:val="1"/>
      <w:marLeft w:val="0"/>
      <w:marRight w:val="0"/>
      <w:marTop w:val="0"/>
      <w:marBottom w:val="0"/>
      <w:divBdr>
        <w:top w:val="none" w:sz="0" w:space="0" w:color="auto"/>
        <w:left w:val="none" w:sz="0" w:space="0" w:color="auto"/>
        <w:bottom w:val="none" w:sz="0" w:space="0" w:color="auto"/>
        <w:right w:val="none" w:sz="0" w:space="0" w:color="auto"/>
      </w:divBdr>
      <w:divsChild>
        <w:div w:id="1168982861">
          <w:marLeft w:val="0"/>
          <w:marRight w:val="0"/>
          <w:marTop w:val="0"/>
          <w:marBottom w:val="0"/>
          <w:divBdr>
            <w:top w:val="none" w:sz="0" w:space="0" w:color="auto"/>
            <w:left w:val="none" w:sz="0" w:space="0" w:color="auto"/>
            <w:bottom w:val="none" w:sz="0" w:space="0" w:color="auto"/>
            <w:right w:val="none" w:sz="0" w:space="0" w:color="auto"/>
          </w:divBdr>
          <w:divsChild>
            <w:div w:id="1778913703">
              <w:marLeft w:val="0"/>
              <w:marRight w:val="0"/>
              <w:marTop w:val="0"/>
              <w:marBottom w:val="0"/>
              <w:divBdr>
                <w:top w:val="none" w:sz="0" w:space="0" w:color="auto"/>
                <w:left w:val="none" w:sz="0" w:space="0" w:color="auto"/>
                <w:bottom w:val="none" w:sz="0" w:space="0" w:color="auto"/>
                <w:right w:val="none" w:sz="0" w:space="0" w:color="auto"/>
              </w:divBdr>
            </w:div>
          </w:divsChild>
        </w:div>
        <w:div w:id="2117285796">
          <w:marLeft w:val="0"/>
          <w:marRight w:val="0"/>
          <w:marTop w:val="0"/>
          <w:marBottom w:val="0"/>
          <w:divBdr>
            <w:top w:val="none" w:sz="0" w:space="0" w:color="auto"/>
            <w:left w:val="none" w:sz="0" w:space="0" w:color="auto"/>
            <w:bottom w:val="none" w:sz="0" w:space="0" w:color="auto"/>
            <w:right w:val="none" w:sz="0" w:space="0" w:color="auto"/>
          </w:divBdr>
          <w:divsChild>
            <w:div w:id="906106985">
              <w:marLeft w:val="0"/>
              <w:marRight w:val="0"/>
              <w:marTop w:val="0"/>
              <w:marBottom w:val="0"/>
              <w:divBdr>
                <w:top w:val="none" w:sz="0" w:space="0" w:color="auto"/>
                <w:left w:val="none" w:sz="0" w:space="0" w:color="auto"/>
                <w:bottom w:val="none" w:sz="0" w:space="0" w:color="auto"/>
                <w:right w:val="none" w:sz="0" w:space="0" w:color="auto"/>
              </w:divBdr>
              <w:divsChild>
                <w:div w:id="180557887">
                  <w:marLeft w:val="0"/>
                  <w:marRight w:val="0"/>
                  <w:marTop w:val="0"/>
                  <w:marBottom w:val="0"/>
                  <w:divBdr>
                    <w:top w:val="none" w:sz="0" w:space="0" w:color="auto"/>
                    <w:left w:val="none" w:sz="0" w:space="0" w:color="auto"/>
                    <w:bottom w:val="none" w:sz="0" w:space="0" w:color="auto"/>
                    <w:right w:val="none" w:sz="0" w:space="0" w:color="auto"/>
                  </w:divBdr>
                </w:div>
              </w:divsChild>
            </w:div>
            <w:div w:id="366832440">
              <w:marLeft w:val="0"/>
              <w:marRight w:val="0"/>
              <w:marTop w:val="0"/>
              <w:marBottom w:val="0"/>
              <w:divBdr>
                <w:top w:val="none" w:sz="0" w:space="0" w:color="auto"/>
                <w:left w:val="none" w:sz="0" w:space="0" w:color="auto"/>
                <w:bottom w:val="none" w:sz="0" w:space="0" w:color="auto"/>
                <w:right w:val="none" w:sz="0" w:space="0" w:color="auto"/>
              </w:divBdr>
            </w:div>
          </w:divsChild>
        </w:div>
        <w:div w:id="373312301">
          <w:marLeft w:val="0"/>
          <w:marRight w:val="0"/>
          <w:marTop w:val="0"/>
          <w:marBottom w:val="0"/>
          <w:divBdr>
            <w:top w:val="none" w:sz="0" w:space="0" w:color="auto"/>
            <w:left w:val="none" w:sz="0" w:space="0" w:color="auto"/>
            <w:bottom w:val="none" w:sz="0" w:space="0" w:color="auto"/>
            <w:right w:val="none" w:sz="0" w:space="0" w:color="auto"/>
          </w:divBdr>
          <w:divsChild>
            <w:div w:id="535394400">
              <w:marLeft w:val="0"/>
              <w:marRight w:val="0"/>
              <w:marTop w:val="0"/>
              <w:marBottom w:val="0"/>
              <w:divBdr>
                <w:top w:val="none" w:sz="0" w:space="0" w:color="auto"/>
                <w:left w:val="none" w:sz="0" w:space="0" w:color="auto"/>
                <w:bottom w:val="none" w:sz="0" w:space="0" w:color="auto"/>
                <w:right w:val="none" w:sz="0" w:space="0" w:color="auto"/>
              </w:divBdr>
              <w:divsChild>
                <w:div w:id="895898674">
                  <w:marLeft w:val="0"/>
                  <w:marRight w:val="0"/>
                  <w:marTop w:val="0"/>
                  <w:marBottom w:val="0"/>
                  <w:divBdr>
                    <w:top w:val="none" w:sz="0" w:space="0" w:color="auto"/>
                    <w:left w:val="none" w:sz="0" w:space="0" w:color="auto"/>
                    <w:bottom w:val="none" w:sz="0" w:space="0" w:color="auto"/>
                    <w:right w:val="none" w:sz="0" w:space="0" w:color="auto"/>
                  </w:divBdr>
                </w:div>
              </w:divsChild>
            </w:div>
            <w:div w:id="548615322">
              <w:marLeft w:val="0"/>
              <w:marRight w:val="0"/>
              <w:marTop w:val="0"/>
              <w:marBottom w:val="0"/>
              <w:divBdr>
                <w:top w:val="none" w:sz="0" w:space="0" w:color="auto"/>
                <w:left w:val="none" w:sz="0" w:space="0" w:color="auto"/>
                <w:bottom w:val="none" w:sz="0" w:space="0" w:color="auto"/>
                <w:right w:val="none" w:sz="0" w:space="0" w:color="auto"/>
              </w:divBdr>
            </w:div>
          </w:divsChild>
        </w:div>
        <w:div w:id="1426724772">
          <w:marLeft w:val="0"/>
          <w:marRight w:val="0"/>
          <w:marTop w:val="0"/>
          <w:marBottom w:val="0"/>
          <w:divBdr>
            <w:top w:val="none" w:sz="0" w:space="0" w:color="auto"/>
            <w:left w:val="none" w:sz="0" w:space="0" w:color="auto"/>
            <w:bottom w:val="none" w:sz="0" w:space="0" w:color="auto"/>
            <w:right w:val="none" w:sz="0" w:space="0" w:color="auto"/>
          </w:divBdr>
          <w:divsChild>
            <w:div w:id="1151600603">
              <w:marLeft w:val="0"/>
              <w:marRight w:val="0"/>
              <w:marTop w:val="0"/>
              <w:marBottom w:val="0"/>
              <w:divBdr>
                <w:top w:val="none" w:sz="0" w:space="0" w:color="auto"/>
                <w:left w:val="none" w:sz="0" w:space="0" w:color="auto"/>
                <w:bottom w:val="none" w:sz="0" w:space="0" w:color="auto"/>
                <w:right w:val="none" w:sz="0" w:space="0" w:color="auto"/>
              </w:divBdr>
              <w:divsChild>
                <w:div w:id="586041204">
                  <w:marLeft w:val="0"/>
                  <w:marRight w:val="0"/>
                  <w:marTop w:val="0"/>
                  <w:marBottom w:val="0"/>
                  <w:divBdr>
                    <w:top w:val="none" w:sz="0" w:space="0" w:color="auto"/>
                    <w:left w:val="none" w:sz="0" w:space="0" w:color="auto"/>
                    <w:bottom w:val="none" w:sz="0" w:space="0" w:color="auto"/>
                    <w:right w:val="none" w:sz="0" w:space="0" w:color="auto"/>
                  </w:divBdr>
                </w:div>
              </w:divsChild>
            </w:div>
            <w:div w:id="2001999949">
              <w:marLeft w:val="0"/>
              <w:marRight w:val="0"/>
              <w:marTop w:val="0"/>
              <w:marBottom w:val="0"/>
              <w:divBdr>
                <w:top w:val="none" w:sz="0" w:space="0" w:color="auto"/>
                <w:left w:val="none" w:sz="0" w:space="0" w:color="auto"/>
                <w:bottom w:val="none" w:sz="0" w:space="0" w:color="auto"/>
                <w:right w:val="none" w:sz="0" w:space="0" w:color="auto"/>
              </w:divBdr>
            </w:div>
          </w:divsChild>
        </w:div>
        <w:div w:id="1248536553">
          <w:marLeft w:val="0"/>
          <w:marRight w:val="0"/>
          <w:marTop w:val="0"/>
          <w:marBottom w:val="0"/>
          <w:divBdr>
            <w:top w:val="none" w:sz="0" w:space="0" w:color="auto"/>
            <w:left w:val="none" w:sz="0" w:space="0" w:color="auto"/>
            <w:bottom w:val="none" w:sz="0" w:space="0" w:color="auto"/>
            <w:right w:val="none" w:sz="0" w:space="0" w:color="auto"/>
          </w:divBdr>
          <w:divsChild>
            <w:div w:id="381058729">
              <w:marLeft w:val="0"/>
              <w:marRight w:val="0"/>
              <w:marTop w:val="0"/>
              <w:marBottom w:val="0"/>
              <w:divBdr>
                <w:top w:val="none" w:sz="0" w:space="0" w:color="auto"/>
                <w:left w:val="none" w:sz="0" w:space="0" w:color="auto"/>
                <w:bottom w:val="none" w:sz="0" w:space="0" w:color="auto"/>
                <w:right w:val="none" w:sz="0" w:space="0" w:color="auto"/>
              </w:divBdr>
              <w:divsChild>
                <w:div w:id="26101118">
                  <w:marLeft w:val="0"/>
                  <w:marRight w:val="0"/>
                  <w:marTop w:val="0"/>
                  <w:marBottom w:val="0"/>
                  <w:divBdr>
                    <w:top w:val="none" w:sz="0" w:space="0" w:color="auto"/>
                    <w:left w:val="none" w:sz="0" w:space="0" w:color="auto"/>
                    <w:bottom w:val="none" w:sz="0" w:space="0" w:color="auto"/>
                    <w:right w:val="none" w:sz="0" w:space="0" w:color="auto"/>
                  </w:divBdr>
                </w:div>
              </w:divsChild>
            </w:div>
            <w:div w:id="1266886110">
              <w:marLeft w:val="0"/>
              <w:marRight w:val="0"/>
              <w:marTop w:val="0"/>
              <w:marBottom w:val="0"/>
              <w:divBdr>
                <w:top w:val="none" w:sz="0" w:space="0" w:color="auto"/>
                <w:left w:val="none" w:sz="0" w:space="0" w:color="auto"/>
                <w:bottom w:val="none" w:sz="0" w:space="0" w:color="auto"/>
                <w:right w:val="none" w:sz="0" w:space="0" w:color="auto"/>
              </w:divBdr>
            </w:div>
          </w:divsChild>
        </w:div>
        <w:div w:id="1181629767">
          <w:marLeft w:val="0"/>
          <w:marRight w:val="0"/>
          <w:marTop w:val="0"/>
          <w:marBottom w:val="0"/>
          <w:divBdr>
            <w:top w:val="none" w:sz="0" w:space="0" w:color="auto"/>
            <w:left w:val="none" w:sz="0" w:space="0" w:color="auto"/>
            <w:bottom w:val="none" w:sz="0" w:space="0" w:color="auto"/>
            <w:right w:val="none" w:sz="0" w:space="0" w:color="auto"/>
          </w:divBdr>
          <w:divsChild>
            <w:div w:id="1550915779">
              <w:marLeft w:val="0"/>
              <w:marRight w:val="0"/>
              <w:marTop w:val="0"/>
              <w:marBottom w:val="0"/>
              <w:divBdr>
                <w:top w:val="none" w:sz="0" w:space="0" w:color="auto"/>
                <w:left w:val="none" w:sz="0" w:space="0" w:color="auto"/>
                <w:bottom w:val="none" w:sz="0" w:space="0" w:color="auto"/>
                <w:right w:val="none" w:sz="0" w:space="0" w:color="auto"/>
              </w:divBdr>
              <w:divsChild>
                <w:div w:id="887187519">
                  <w:marLeft w:val="0"/>
                  <w:marRight w:val="0"/>
                  <w:marTop w:val="0"/>
                  <w:marBottom w:val="0"/>
                  <w:divBdr>
                    <w:top w:val="none" w:sz="0" w:space="0" w:color="auto"/>
                    <w:left w:val="none" w:sz="0" w:space="0" w:color="auto"/>
                    <w:bottom w:val="none" w:sz="0" w:space="0" w:color="auto"/>
                    <w:right w:val="none" w:sz="0" w:space="0" w:color="auto"/>
                  </w:divBdr>
                </w:div>
              </w:divsChild>
            </w:div>
            <w:div w:id="21452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2020-08-24T07:36:00Z</dcterms:created>
  <dcterms:modified xsi:type="dcterms:W3CDTF">2020-08-24T07:44:00Z</dcterms:modified>
</cp:coreProperties>
</file>