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48" w:rsidRPr="00FA269C" w:rsidRDefault="00FA269C" w:rsidP="00FA269C">
      <w:pPr>
        <w:spacing w:before="120" w:after="120" w:line="240" w:lineRule="auto"/>
        <w:jc w:val="center"/>
        <w:rPr>
          <w:rFonts w:cs="Times New Roman"/>
          <w:b/>
          <w:sz w:val="24"/>
          <w:szCs w:val="24"/>
        </w:rPr>
      </w:pPr>
      <w:r w:rsidRPr="00FA269C">
        <w:rPr>
          <w:rFonts w:cs="Times New Roman"/>
          <w:b/>
          <w:sz w:val="24"/>
          <w:szCs w:val="24"/>
        </w:rPr>
        <w:t>ÁN LỆ SỐ 13/2017/AL</w:t>
      </w:r>
    </w:p>
    <w:p w:rsidR="00FA269C" w:rsidRPr="00FA269C" w:rsidRDefault="00FA269C" w:rsidP="00FA269C">
      <w:pPr>
        <w:spacing w:before="120" w:after="240" w:line="240" w:lineRule="auto"/>
        <w:jc w:val="both"/>
        <w:rPr>
          <w:rFonts w:cs="Times New Roman"/>
          <w:sz w:val="24"/>
          <w:szCs w:val="24"/>
        </w:rPr>
      </w:pPr>
      <w:r w:rsidRPr="00FA269C">
        <w:rPr>
          <w:rFonts w:cs="Times New Roman"/>
          <w:sz w:val="24"/>
          <w:szCs w:val="24"/>
        </w:rPr>
        <w:t>Án lệ số 12/2017/AL được Hội đồng Thẩm phán Tòa án nhân dân tối cao thông qua ngày 15 tháng 02 năm 2018 và được công bố theo Quyết định 299/QĐ-CA năm 2017 của Chánh án Tòa án nhân dân tối cao.</w:t>
      </w:r>
    </w:p>
    <w:p w:rsidR="00FA269C" w:rsidRPr="00FA269C" w:rsidRDefault="00FA269C" w:rsidP="00FA269C">
      <w:pPr>
        <w:spacing w:before="120" w:after="120" w:line="240" w:lineRule="auto"/>
        <w:jc w:val="center"/>
        <w:rPr>
          <w:rFonts w:cs="Times New Roman"/>
          <w:b/>
          <w:sz w:val="24"/>
          <w:szCs w:val="24"/>
        </w:rPr>
      </w:pPr>
      <w:r w:rsidRPr="00FA269C">
        <w:rPr>
          <w:rFonts w:cs="Times New Roman"/>
          <w:b/>
          <w:sz w:val="24"/>
          <w:szCs w:val="24"/>
        </w:rPr>
        <w:t>KHÁI QUÁT ÁN LỆ</w:t>
      </w:r>
    </w:p>
    <w:p w:rsidR="00FA269C" w:rsidRPr="00FA269C" w:rsidRDefault="00FA269C" w:rsidP="00FA269C">
      <w:pPr>
        <w:spacing w:before="120" w:after="120" w:line="240" w:lineRule="auto"/>
        <w:jc w:val="both"/>
        <w:rPr>
          <w:rFonts w:cs="Times New Roman"/>
          <w:b/>
          <w:sz w:val="24"/>
          <w:szCs w:val="24"/>
        </w:rPr>
      </w:pPr>
      <w:r w:rsidRPr="00FA269C">
        <w:rPr>
          <w:rFonts w:cs="Times New Roman"/>
          <w:b/>
          <w:sz w:val="24"/>
          <w:szCs w:val="24"/>
        </w:rPr>
        <w:t>- Tình huống án lệ:</w:t>
      </w:r>
    </w:p>
    <w:p w:rsidR="00FA269C" w:rsidRPr="00FA269C" w:rsidRDefault="00FA269C" w:rsidP="00FA269C">
      <w:pPr>
        <w:spacing w:before="120" w:after="240" w:line="240" w:lineRule="auto"/>
        <w:jc w:val="both"/>
        <w:rPr>
          <w:rFonts w:cs="Times New Roman"/>
          <w:sz w:val="24"/>
          <w:szCs w:val="24"/>
        </w:rPr>
      </w:pPr>
      <w:r w:rsidRPr="00FA269C">
        <w:rPr>
          <w:rFonts w:cs="Times New Roman"/>
          <w:sz w:val="24"/>
          <w:szCs w:val="24"/>
        </w:rPr>
        <w:t>Hợp đồng mua bán hàng hóa quốc tế có thỏa thuận phương thức thanh toán bằng thư tín dụng (L/C), thỏa thuận thực hiện L/C theo tập quán thương mại quốc tế (Quy tắc thực hành thống nhất về tín dụng chứng từ lần thứ 6 năm 2007 (UCP 600) của Phòng Thương mại Quốc tế) và phù hợp với quy định của pháp luật Việt Nam. Hợp đồng mua bán hàng hóa quốc tế là cơ sở của L/C bị hủy bỏ.</w:t>
      </w:r>
    </w:p>
    <w:p w:rsidR="00FA269C" w:rsidRPr="00FA269C" w:rsidRDefault="00FA269C" w:rsidP="00FA269C">
      <w:pPr>
        <w:spacing w:before="120" w:after="120" w:line="240" w:lineRule="auto"/>
        <w:jc w:val="both"/>
        <w:rPr>
          <w:rFonts w:cs="Times New Roman"/>
          <w:b/>
          <w:sz w:val="24"/>
          <w:szCs w:val="24"/>
        </w:rPr>
      </w:pPr>
      <w:r w:rsidRPr="00FA269C">
        <w:rPr>
          <w:rFonts w:cs="Times New Roman"/>
          <w:b/>
          <w:sz w:val="24"/>
          <w:szCs w:val="24"/>
        </w:rPr>
        <w:t>- Giả</w:t>
      </w:r>
      <w:r w:rsidRPr="00FA269C">
        <w:rPr>
          <w:rFonts w:cs="Times New Roman"/>
          <w:b/>
          <w:sz w:val="24"/>
          <w:szCs w:val="24"/>
        </w:rPr>
        <w:t>i pháp pháp lý:</w:t>
      </w:r>
    </w:p>
    <w:p w:rsidR="00FA269C" w:rsidRPr="00FA269C" w:rsidRDefault="00FA269C" w:rsidP="00FA269C">
      <w:pPr>
        <w:spacing w:before="120" w:after="240" w:line="240" w:lineRule="auto"/>
        <w:jc w:val="both"/>
        <w:rPr>
          <w:rFonts w:cs="Times New Roman"/>
          <w:sz w:val="24"/>
          <w:szCs w:val="24"/>
        </w:rPr>
      </w:pPr>
      <w:r w:rsidRPr="00FA269C">
        <w:rPr>
          <w:rFonts w:cs="Times New Roman"/>
          <w:sz w:val="24"/>
          <w:szCs w:val="24"/>
        </w:rPr>
        <w:t>Trường hợp này, Tòa án phải xác định thư tín dụng (L/C) không bị mất hiệu lực thanh toán vì lý do hợp đồng mua bán hàng hóa quốc tế là cơ sở của thư tín dụng (L/C) bị hủy bỏ.</w:t>
      </w:r>
    </w:p>
    <w:p w:rsidR="00FA269C" w:rsidRPr="00FA269C" w:rsidRDefault="00FA269C" w:rsidP="00FA269C">
      <w:pPr>
        <w:spacing w:before="120" w:after="240" w:line="240" w:lineRule="auto"/>
        <w:jc w:val="both"/>
        <w:rPr>
          <w:rFonts w:cs="Times New Roman"/>
          <w:sz w:val="24"/>
          <w:szCs w:val="24"/>
        </w:rPr>
      </w:pPr>
      <w:r w:rsidRPr="00FA269C">
        <w:rPr>
          <w:rFonts w:cs="Times New Roman"/>
          <w:sz w:val="24"/>
          <w:szCs w:val="24"/>
        </w:rPr>
        <w:t>Quy định của pháp luật có liên quan đến án lệ:</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Điều 3 Bộ luật Dân sự năm 2005 (tương ứng với Điều 5 Bộ luật Dân sự năm 2015);</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Quyết định số 226/2002/QĐ-NHNN ngày 26-3-2002 của Ngân hàng Nhà nước về “Quy chế hoạt động thanh toán qua các tổ chức cung ứng dịch vụ thanh toán”;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Bản sửa đổi về quy tắc thực hành thống nhất tín dụng chứng từ lần thứ 6 năm 2007 (UCP 600) của Phòng Thương mại Quốc tế.</w:t>
      </w:r>
    </w:p>
    <w:p w:rsidR="00FA269C" w:rsidRPr="00FA269C" w:rsidRDefault="00FA269C" w:rsidP="00FA269C">
      <w:pPr>
        <w:spacing w:before="120" w:after="120" w:line="240" w:lineRule="auto"/>
        <w:jc w:val="center"/>
        <w:rPr>
          <w:rFonts w:cs="Times New Roman"/>
          <w:b/>
          <w:sz w:val="24"/>
          <w:szCs w:val="24"/>
        </w:rPr>
      </w:pPr>
      <w:r w:rsidRPr="00FA269C">
        <w:rPr>
          <w:rFonts w:cs="Times New Roman"/>
          <w:b/>
          <w:sz w:val="24"/>
          <w:szCs w:val="24"/>
        </w:rPr>
        <w:t>NỘI DUNG VỤ 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đơn khởi kiện đề ngày 15-9-2011, đơn khởi kiện sửa đổi bổ sung ngày 22-9-2011 và quá trình tố tụng, nguyên đơn do bà Mai Thị Tuyết N - người đại diện hợp pháp của Công ty trách nhiệm hữu hạn một thành viên A trình bày:</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Ngày 07-6-2011, Công ty trách nhiệm hữu hạn một thành viên A (gọi tắt là Bên mua, Công ty A) và Công ty B (gọi tắt là Bên bán) có ký hợp đồng mua bán hàng hóa quốc tế số FARCOM/RCN/IVC/036/2011 ngày 07-6-2011 (gọi tắt là Hợp đồng mua bán ngày 07-6-2011). Theo nội dung Hợp đồng mua bán ngày 07-6-2011, Bên mua mua hạt điều thô nguồn gốc Ivory Coast, số lượng là 1000 tấn x 1.385,50 USD/tấn theo phương thức thanh toán 98% L/C trả chậm trong vòng 90 ngày kể từ ngày giao hàng dựa trên vận tải đơn (B/L) theo tiêu chuẩn chất lượng như sau:</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Thu hồi 47 lbs/80kg và có quyền từ chối nhận hàng khi thu hồi dưới 45 lbs/80kg.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Hạt: số hạt tối đa là 205/kg. Từ chối là 220 hạt/kg.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Độ ẩm tối đa là 10%. Từ chối độ ẩm là trên 12%.</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Hàng hóa sẽ được Vinacontrol giám định chất lượng và khối lượng tại thời điểm giao hàng tại Cảng đến là Thành phố Hồ Chí Minh.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xml:space="preserve">Phương thức thanh toán tín dụng chứng từ (L/C) trả chậm trong vòng 90 ngày, nên ngày 07-7-2011, Bên mua đã yêu cầu Ngân hàng Thương mại Cổ phần E chi nhánh Đ mở L/C trả chậm </w:t>
      </w:r>
      <w:r w:rsidRPr="00FA269C">
        <w:rPr>
          <w:rFonts w:cs="Times New Roman"/>
          <w:sz w:val="24"/>
          <w:szCs w:val="24"/>
        </w:rPr>
        <w:lastRenderedPageBreak/>
        <w:t>số 1801ILUEIB110002 (sau đây gọi tắt là L/C số 1801) để Bên mua hoàn thiện thủ tục mua lô hàng từ Bên bán.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Sau khi nhận hàng, theo Điều 8 của Hợp đồng, Bên mua đã kiểm tra lại chất lượng và khối lượng lô hàng tại Cảng dỡ hàng là Cảng Cát Lái Thành phố Hồ Chí Minh với sự giám sát của Vinacontrol thì phát hiện hàng hóa của Bên bán không đảm bảo chất lượng. Cụ thể theo hai chứng thư của Vinacontrol số 11G04HN05957-01 và số 11G04HN05939-01 ngày 31-8-2011 giám định về khối lượng, phẩm chất và tình trạng hàng hóa thì kết quả giám định thể hiện tỷ lệ bình quân nhận thu hồi hạt điều cho hai lần cắt mẫu hạt điều là 37,615 lbs/80kg (tỷ lệ này quá thấp so với điều kiện để từ chối gần 10 lbs). Trước sự việc gian lận thương mại đó, Bên mua đã nhiều lần cố gắng liên lạc với Bên bán để giải quyết vấn đề phát sinh về chất lượng lô hàng hạt điều nhập khẩu nhưng không nhận được bất cứ phản hồi nào từ phía Bên bán.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Do đó, ngày 15-9-2011 Bên mua nộp đơn khởi kiện đến Tòa án nhân dân Thành phố Hồ Chí Minh yêu cầu Tòa án buộc Bên bán nhận lại lô hàng hạt điều 1.000 tấn vì chất lượng nhân thu hồi nằm trong điều kiện từ chối nhận hàng của Hợp đồng là dưới 45 lbs, không đồng ý thanh toán tiền mua hàng, đồng thời yêu cầu Tòa án áp dụng biện pháp khẩn cấp tạm thời buộc Ngân hàng Thương mại Cổ phần E tạm ngưng thanh toán cho Bên bán số tiền 1.313.308,85 USD của L/C số 1801 theo cam kết thanh toán của Bên mua cho đến khi có quyết định khác của Tòa 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Ngày 12-8-2013 Bên mua đã đóng tiền tạm ứng án phí cho yêu cầu khởi kiện bổ sung là yêu cầu hủy bỏ Hợp đồng mua bán ngày 07-6-2011, đồng thời yêu cầu hủy bỏ L/C số 1801.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phiên tòa sơ thẩm nguyên đơn đề nghị:</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 Hủy bỏ Hợp đồng mua bán ngày 07-6-2011.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 Buộc Bên bán phải đến kho Bên mua tại địa chỉ ấp C2, quốc lộ 1A, xã C, huyện L, Lỉnh Đồng Nai ngay khi án có hiệu lực pháp luật để nhận lại toàn bộ lô hàng theo Hợp đồng đã giao. Sau 30 ngày kể từ ngày bản án có hiệu lực pháp luật, nếu Bên bán không đến kho của Bên mua để nhận lại lô hàng thì Thi hành án có quyền bán lô hàng trên, để trả lại mặt bằng kho cho Bên mua.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 Hủy nghĩa vụ thanh toán của Bên mua đối với L/C số 1801 và yêu cầu Ngân hàng Thương mại Cổ phần E hoàn trả ngay số tiền ký quỹ để bảo đảm thanh toán L/C là 1.313.308,85 USD cho nguyên đơn.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4. Yêu cầu Tòa án tiếp tục duy trì Quyết định áp dụng biện pháp khẩn cấp tạm thời số 101/2011/QĐ-BPKCTT ngày 23-9-2011 cho đến khi bản án phát sinh hiệu lực. Đồng thời cho Bên mua nhận lại số tiền 1.500.000.000 đồng mà Bên mua đã thực hiện đảm bảo theo Quyết định của Tòa tại Ngân hàng T chi nhánh P khi bản án phát sinh hiệu lực.</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Bị đơn là Công ty B (Bên bán) có trụ sở ở nước ngoài và đã được Tòa án tống đạt hợp lệ cho Bên bán thông qua Bộ Tư pháp Việt Nam theo đúng quy định của Bộ luật Tố tụng dân sự, Luật Tương trợ tư pháp 2007 và Thông tư liên tịch số 15/2011/TTLT-BTP-BNG-TANDTC ngày 15-9-2011 nhưng Bên bán vẫn vắng mặt, không có ý kiến phản hồi.</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Người có quyền lợi, nghĩa vụ liên quan là Ngân hàng Thương mại Cổ phần E trình bày:</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Theo yêu cầu của Bên mua, ngày 07-7-2011, Ngân hàng Thương mại Cổ phần E chi nhánh Đ đã phát hành L/C số 1801 với nội dung như sau:</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Giá trị L/C 1.357.790 USD</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 Mục đích nhập khẩu 1.000 tấn hạt điều thô từ Bờ Biển Ngà;</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Ngân hàng thụ hưởng: Ngân hàng N, Singapore.</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Người thụ hưởng: Công ty B.</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L/C trả chậm mở theo UCP 600; với điều khoản có thể xác nhận.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Biện pháp bảo đảm: bảo lãnh của bên thứ ba, TSBĐ; thẻ tiết kiệm.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Ngày đến hạn thanh toán: ngày 29-9-2011 (961.813,66 USD) và ngày 17-10-2011 (351.495,19 USD).</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Sau khi nhận được bộ chứng từ hợp lệ, Bên mua đã ký nhận thanh toán đủ giá trị và đúng hạn đối với L/C. Căn cứ xác nhận của Bên mua, Ngân hàng Thương mại Cổ phần E chi nhánh Đ đã ký chấp nhận hối phiếu.</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Trên cơ sở đã xác nhận L/C, căn cứ vào tình trạng bộ chứng từ, Ngân hàng N đã chiết khấu miễn truy đòi cho Bên bán đối với 03 bộ chứng từ trị giá 1.313.308.85 USD vào ngày 25-7, 28-7 và ngày 08-8-2011.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Theo nội dung L/C đã phát hành thì L/C được chi phối và áp dụng theo “Quy tắc thực hành thống nhất về tín dụng chứng từ” phiên bản mới nhất (hiện nay là UCP 600). Theo quy định của UCP 600, Ngân hàng Thương mại Cổ phần E với tư cách là Ngân hàng phát hành cam kết thanh toán dựa trên bộ chứng từ và cam kết thanh toán, đồng nghĩa với việc Bên mua đã thanh toán cho Bên bán. Căn cứ bộ chứng từ hợp lệ và chấp nhận thanh toán của Bên mua, Ngân hàng Thương mại Cổ phần E đã ký chấp nhận hối phiếu. Ngân hàng N đã chiết khấu miễn truy đòi Bên bán đối với 03 bộ chứng từ của L/C nêu trên.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Ngân hàng Thương mại Cổ phần E không đồng ý với yêu cầu của nguyên đơn về việc yêu cầu Tòa án hủy bỏ L/C số 1801 và yêu cầu buộc Ngân hàng Thương mại Cổ phần E hoàn trả ngay số tiền ký quỹ là 1.313.308.85 USD cho nguyên đơn. Ngân hàng Thương mại Cổ phần E đề nghị Tòa án hủy bỏ ngay Quyết định áp dụng biện pháp khẩn cấp tạm thời số 101/2011/QĐ-BPKCTT ngày 23-9-2011 để Ngân hàng Thương mại cổ phần E thanh toán cho Ngân hàng N theo đúng thỏa thuận tại L/C.</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Người có quyền lợi, nghĩa vụ liên quan là Ngân hàng N trình bày:</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Căn cứ Hợp đồng mua bán ngày 07-6-2011 và L/C số 1801 thì Ngân hàng N (chi nhánh tại Singapore) là Ngân hàng chỉ định của Bên bán để thực hiện thư tín dụng đảm bảo thanh toán do Ngân hàng Thương mại Cổ phần E phát hành.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Phù hợp với nội dung của Quy tắc UCP 600, Ngân hàng N đã chiết khấu bộ chứng từ hợp lệ được xuất trình bởi Bên bán và đã thanh toán giá trị của thư tín dụng cho Bên bán vào ngày 25-7-2011, ngày 28-7-2011 và ngày 08-8-2011. Như vậy, Ngân hàng N đã mua L/C số 1801 cùng các chứng từ có liên quan một cách hợp pháp và trở thành người thụ hưởng trực tiếp toàn bộ và bất cứ khoản thanh toán nào của thư tín dụng này. Sau khi bộ chứng từ được xuất trình theo đúng quy định của thư tín dụng nêu trên, Ngân hàng Thương mại Cổ phần E đã xác nhận chấp nhận bộ chứng từ và cam kết sẽ thanh toán cho Ngân hàng N vào ngày 29-9-2011 và 17-10-2011 nhưng việc thanh toán đã không được tiến hành do Bên mua đề nghị và Tòa án đã ban hành Quyết định áp dụng biện pháp khẩn cấp tạm thời số 101/2011/QĐ-BPKCTT ngày 23-9-2011.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Ngân hàng N yêu cầu Tòa án hủy bỏ ngay Quyết định áp dụng biện pháp khẩn cấp tạm thời số 101/2011/QĐ-BPKCTT ngày 23-9-2011 và yêu cầu Bên mua phải bồi thường thiệt hại gây ra cho Ngân hàng N từ hành vi yêu cầu áp dụng biện pháp khẩn cấp tạm thời trái pháp luật khiến Ngân hàng N không nhận được thanh toán giá trị thư tín dụng nêu trên từ Ngân hàng Thương mại Cổ phần E. Khoản tiền Ngân hàng N yêu cầu bồi thường thiệt hại là khoản tiền lãi vay mà Ngân hàng N hiện đang phải trả dựa trên tổng số tiền phải thanh toán theo 03 bộ chứng từ xuất trình phù hợp cho Ngân hàng Thương mại Cổ phần E tương ứng với thời gian chậm thanh toán được tính từ ngày đến hạn thanh toán theo cam kết của Ngân hàng Thương mại Cổ phần E (ngày 29-9-2011) đến ngày Ngân hàng N nộp Đơn yêu cầu tham gia tố tụng trong vụ kiện và dựa trên lãi suất vay Đôla Mỹ không kỳ hạn của liên ngân hàng tại thời điểm nộp đơn (3,8%/12 tháng). Tổng số tiền thiệt hại mà Ngân hàng N yêu cầu Bên mua bồi thường là 33.270,49 USD tương đương 694.188.774 VNĐ.</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Bản án kinh doanh, thương mại sơ thẩm số 356/2014/KDTM-ST ngày 07-4-2014, Tòa án nhân dân Thành phố Hồ Chí Minh quyết định: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 Hủy bỏ Hợp đồng mua bán số FARCOM/RCN/IVC/036/2011 ngày 07-6-2011 giữa Bên bán là Công ty B và Bên mua là Công ty TNHH một thành viên 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Buộc Công ty B nhận lại toàn bộ lô hàng hạt điều thô Ivory Coast số lượng là 1.000 tấn đã giao theo Hợp đồng mua bán số FARCOM/RCN/IVC/036/2011 để tại địa chỉ: kho Công ty TNHH một thành viên A ấp C2, quốc lộ 1A, xã C, huyện L, tỉnh Đồng Nai. Sau 30 ngày kể từ ngày bản án có hiệu lực pháp luật, nếu Công ty B không đến nhận lại lô hàng trên thì cơ quan Thi hành án có quyền bán phát mãi lô hàng theo quy định của pháp luật trả lại mặt bằng kho cho Công ty TNHH một thành viên 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 L/C trả chậm số 1801ILUEIB110002 do Ngân hàng Thương mại Cổ phần E chi nhánh Đ phát hành ngày 07-7-2011 không còn hiệu lực thanh toán. Ngân hàng Thương mại Cổ phần E không có nghĩa vụ thanh toán cho Ngân hàng N theo L/C trả chậm số 1801ILUEIB110002 do Ngân hàng Thương mại Cổ phần E chi nhánh Đ phát hành ngày 07-7-2011.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Buộc Ngân hàng Thương mại Cổ phần E phải hoàn trả cho Công ty TNHH một thành viên A tài sản bảo đảm cho việc thanh toán L/C là số tiền ký quỹ 1.313.308,85 USD.</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 Tiếp tục duy trì biện pháp khẩn cấp tạm thời áp dụng tại Quyết định số 101/2011/QĐ-BPKCTT ngày 23-9-2011 của Tòa án nhân dân Thành phố Hồ Chí Minh và biện pháp bảo đảm áp dụng tại Quyết định số 100/2011/QĐ-BPĐB ngày 23-9-2011 của Tòa án nhân dân Thành phố Hồ Chí Minh cho đến khi bản án có hiệu lực pháp luật. Công ty TNHH một thành viên A được nhận lại toàn bộ số tiền 1.500.000.000đ (một tỉ năm trăm triệu đồng) ký quỹ trong tài khoản phong tỏa số 1022130.3441.012 tại Ngân hàng T chi nhánh P mà Công ty TNHH một thành viên A đã thực hiện gửi tài sản đảm bảo theo Quyết định buộc thực hiện biện pháp bảo đảm số 100/2011/QĐ-BPĐB ngày 23-9-2011 của Tòa án nhân dân Thành phố Hồ Chí Minh khi bản án có hiệu lực pháp luật.</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4. Không chấp nhận yêu cầu của Ngân hàng N đòi Công ty TNHH một thành viên A phải bồi thường thiệt hại với số tiền là 33.270,49 USD tương đương với 694.188.774 VNĐ”.</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Ngoài ra, bản án còn tuyên về án phí, lãi suất trả chậm và thời hạn kháng cáo.</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Ngày 21-4-2014, Ngân hàng Thương mại Cổ phần E có đơn kháng cáo toàn bộ nội dung Bản án kinh doanh thương mại sơ thẩm nêu trên.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Quyết định đình chỉ xét xử phúc thẩm số 29/2015/QĐPT-KDTM ngày 26-8-2015, Tòa án nhân dân cấp cao tại Thành phố Hồ Chí Minh quyết định: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1. Đình chỉ xét xử phúc thẩm vụ án kinh doanh thương mại thụ lý số 40/2014/TLKDTM-PT ngày 18-8-2014 về việc “Tranh chấp hợp đồng mua bán hàng hóa”.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 Bản án kinh doanh thương mại sơ thẩm số 356/2014/KDTM-ST ngày 07-4-2014 của Tòa án nhân dân Thành phố Hồ Chí Minh có hiệu lực pháp luật kể từ ngày 26-8-2015.</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Ngoài ra, Tòa án còn quyết định về án phí.</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Ngày 10-9-2015, Ngân hàng Thương mại Cổ phần E có đơn đề nghị Chánh án Tòa án nhân dân tối cao xem xét Bản án kinh doanh thương mại sơ thẩm và Quyết định đình chỉ xét xử phúc thẩm nêu trên theo thủ tục giám đốc thẩm.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Quyết định số 11/2016/KN-KDTM ngày 07-3-2016, Chánh án Tòa án nhân dân tối cao kháng nghị Quyết định đình chỉ xét xử phúc thẩm vụ án kinh doanh thương mại số 29/2015/QĐPT-KDTM ngày 26-8-2015 của Tòa án nhân dân cấp cao tại Thành phố Hồ Chí Minh; đề nghị Hội đồng Thẩm phán Tòa án nhân dân tối cao xét xử giám đốc thẩm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 giao hồ sơ vụ án cho Tòa án nhân dân Thành phố Hồ Chí Minh xét xử lại theo thủ tục sơ thẩm đúng quy định của pháp luật.</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Tại phiên toà giám đốc thẩm, đại diện Viện kiểm sát nhân dân tối cao đề nghị Hội đồng Thẩm phán Tòa án nhân dân tối cao chấp nhận kháng nghị của Chánh án Tòa án nhân dân tối cao.</w:t>
      </w:r>
    </w:p>
    <w:p w:rsidR="00FA269C" w:rsidRPr="00FA269C" w:rsidRDefault="00FA269C" w:rsidP="00FA269C">
      <w:pPr>
        <w:spacing w:before="120" w:after="120" w:line="240" w:lineRule="auto"/>
        <w:jc w:val="center"/>
        <w:rPr>
          <w:rFonts w:cs="Times New Roman"/>
          <w:b/>
          <w:sz w:val="24"/>
          <w:szCs w:val="24"/>
        </w:rPr>
      </w:pPr>
      <w:r w:rsidRPr="00FA269C">
        <w:rPr>
          <w:rFonts w:cs="Times New Roman"/>
          <w:b/>
          <w:sz w:val="24"/>
          <w:szCs w:val="24"/>
        </w:rPr>
        <w:t>QUYẾT ĐỊNH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 Chấp nhận Quyết định kháng nghị số 11/2016/KN-KDTM ngày 07-3-2016 của Chánh án Tòa án nhân dân tối cao.</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 Hủy Quyết định đình chỉ xét xử phúc thẩm số 29/2015/QĐPT-KDTM ngày 26-8-2015 của Tòa án nhân dân cấp cao tại Thành phố Hồ Chí Minh và hủy Bản án kinh doanh, thương mại sơ thẩm số 356/2014/KDTM-ST ngày 07-4-2014 của Tòa án nhân dân Thành phố Hồ Chí Minh.</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 Giao hồ sơ vụ án cho Tòa án nhân dân Thành phố Hồ Chí Minh xét xử lại theo thủ tục sơ thẩm đúng quy định của pháp luật.</w:t>
      </w:r>
    </w:p>
    <w:p w:rsidR="00FA269C" w:rsidRPr="00FA269C" w:rsidRDefault="00FA269C" w:rsidP="00FA269C">
      <w:pPr>
        <w:spacing w:before="120" w:after="120" w:line="240" w:lineRule="auto"/>
        <w:jc w:val="center"/>
        <w:rPr>
          <w:rFonts w:cs="Times New Roman"/>
          <w:b/>
          <w:sz w:val="24"/>
          <w:szCs w:val="24"/>
        </w:rPr>
      </w:pPr>
      <w:r w:rsidRPr="00FA269C">
        <w:rPr>
          <w:rFonts w:cs="Times New Roman"/>
          <w:b/>
          <w:sz w:val="24"/>
          <w:szCs w:val="24"/>
        </w:rPr>
        <w:t>NHẬN ĐỊNH CỦA TÒA 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 Ngày 07-6-2011, Công ty TNHH một thành viên A (Bên mua) và Công ty B (Bên bán) có ký Hợp đồng mua bán ngày 07-6-2011 với nội dung: Bên mua mua 1.000 tấn hạt điều với phương thức thanh toán 98% L/C trả chậm trong vòng 90 ngày, kể từ ngày giao hàng dựa trên vận đơn.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 Thực hiện hợp đồng nêu trên, Công ty A đã yêu cầu và nộp số tiền ký quỹ là 1.313.308,85 USD để Ngân hàng Thương mại Cổ phần E phát hành L/C số 1801.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 Khi hàng về đến cảng Thành phố Hồ Chí Minh, Bên mua đã yêu cầu Vinacontrol Thành phố Hồ Chí Minh giám định phẩm chất và chất lượng hàng hóa theo Điều 8, Điều 11 của hợp đồng.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[4] Theo Chứng thư giám định về khối lượng, phẩm chất và tình trạng hàng hóa ngày 31-8-2011 của Vinacontrol xác định: Tỷ lệ nhân hạt điều thu hồi cho 2 lần cắt mẫu: Lần 1 là 38,2 lbs/80kg; Lần 2 là 37,03 lbs/80kg.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[5] Do tỷ lệ nhân hạt điều thu hồi thấp hơn so với thỏa thuận của Hợp đồng, nên Bên mua đã khiếu nại bằng hình thức mail cho Bên bán nhưng Bên bán không hợp tác. Vì vậy, Bên mua khởi kiện yêu cầu hủy Hợp đồng mua bán ngày 07-6-2011, trả lại toàn bộ lô hàng cho Bên bán và hủy bỏ nghĩa vụ thanh toán theo L/C số 1801 do Ngân hàng Thương mại Cổ phần E phát hành ngày 07-7-2011 và yêu cầu Ngân hàng Thương mại Cổ phần E hoàn trả lại số tiền ký quỹ là 1.313.308,85 USD để đảm bảo thanh toán L/C số 1801 ngày 07-7-2011.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[6] Căn cứ vào các tài liệu, chứng cứ có trong hồ sơ vụ án, thấy rằng: Hình thức và nội dung của Hợp đồng mua bán ngày 07-6-2011 không vi phạm quy định của pháp luật, phù hợp với các quy định tại các Điều, Khoản, Mục 2 về quyền, nghĩa vụ của các bên trong hợp đồng mua bán hàng hóa của Luật Thương mại năm 2005; tại Điều 15 của hợp đồng, hai bên thỏa thuận khi có tranh chấp áp dụng pháp luật Việt Nam đểgiải quyết.</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[7] Quá trình giải quyết, Tòa án cấp sơ thẩm đã thực hiện đúng thủ tục ủy thác tư pháp trong việc triệu tập bị đơn (Bên bán), thông báo cho bị đơn biết yêu cầu khởi kiện của nguyên đơn; đồng thời, yêu cầu bị đơn gửi văn bản cho biết ý kiến của bị đơn về yêu cầu khởi kiện; mặc dù bị đơn đã nhận được các văn bản triệu tập và thông báo này nhưng bị đơn không có ý kiến phản đối với yêu cầu khởi kiện của nguyên đơn.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[8] Căn cứ vào 02 Chứng thư giám định của Vinacontrol do Bên mua xuất trình, có cơ sở để xác định bên bán đã có lỗi giao hàng không phù hợp với Hợp đồng mua bán ngày 07-6-2011, nên theo Điều 39 Luật Thương mại, Bên mua có quyền từ chối nhận hàng. Mặt khác, sau khi có chứng thư giám định của Vinacontrol, Bên mua đã khiếu nại về chất lượng hàng hóa nhưng Bên bán không hợp tác. Do Bên bán giao hàng không đúng chất lượng như đã thỏa thuận trong Hợp đồng làm cho Bên mua không đạt được mục đích của việc giao kết Hợp đồng, nên có cơ sở xác định Bên bán đã vi phạm cơ bản nghĩa vụ của Hợp đồng. Vì vậy, Tòa án cấp sơ thẩm tuyên hủy bỏ Hợp đồng là có căn cứ đúng quy định tại khoản 13 Điều 3, Điều 312 Luật Thương mại. Tuy nhiên, khi giải quyết hậu quả pháp lý của việc hủy bỏ hợp đồng, Tòa án cấp sơ thẩm chưa giải quyết việc buộc Bên bán phải trả lại tiền đã nhận (nếu có) và bồi thường thiệt hại cho Bên mua là chưa giải quyết đúng vụ án.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[9] Đối với việc giải quyết về yêu cầu hủy bỏ L/C số 1801: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[10] Căn cứ theo đề nghị mở L/C trả chậm của Bên mua, Ngân hàng Thương mại Cổ phần E Chi nhánh Đ đã mở L/C số 1801 ngày 07-7-2011, cụ thể:</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[11] - Giá trị L/C: 1.357.790 USD;</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[12] - Hình thức của chứng từ: Không hủy ngang;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[13] - Mục đích: mua 1.000 tấn hạt điều thô từ Bờ Biển Ngà;</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[14] - Ngân hàng thụ hưởng: Ngân hàng N, Singapore;</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[15] - Người thụ hưởng: Công ty B;</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[16] - Người yêu cầu: Công ty 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[17] - Quy tắc áp dụng: UCP phiên bản mới nhất.</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[18] Sau đó, Ngân hàng Thương mại Cổ phần E đã nhận được 03 bộ chứng từ đòi tiền từ Ngân hàng N, với tổng giá trị 1.313.308,85 USD, cụ thể:</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[19] Ngày 25-7-2011: Bộ chứng từ 961.813,66 USD, đáo hạn ngày 29-9-2011;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[20] Ngày 29-7-2011: Bộ chứng từ 312.517,11 USD, đáo hạn ngày 17-10-2011;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[21] Ngày 09-8-2011: Bộ chứng từ 38.978,08 USD, đáo hạn ngày 17-10-2011.</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[22] Sau khi nhận được các bộ chứng từ phù hợp với điều kiện L/C, Ngân hàng Thương mại Cổ phần E đã gửi Công văn và các bộ chứng từ cho Bên mua và được Bên mua xác nhận “Đã nhận đủ chứng từ và cam kết thanh toán đủ trị giá, đúng hạn như trên; trên cơ sở đó, Ngân hàng Thương mại Cổ phần E đã điện báo chấp nhận thanh toán hối phiếu vào ngày đáo hạn của 03 bộ chứng từ nêu trên cho Ngân hàng N.</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[23] Theo quy định pháp luật Việt Nam về thanh toán chứng từ, thì:</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[24] Tại khoản 4 Điều 3 Luật Các tổ chức tín dụng năm 2010, quy định: “Tổ chức, cá nhân tham gia hoạt động ngân hàng được quyền thỏa thuận áp dụng tập quán thương mại, bao gồm: Tập quán thương mại quốc tế do Phòng Thương mại Quốc tế ban hành; tập quán thương mại khác không trái với pháp luật Việt Nam”.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[25] Tại khoản 1 Điều 16 Quyết định số 226/2002/QĐ-NHNN ngày 26-3-2002 của Ngân hàng Nhà nước về “Quy chế hoạt động thanh toán qua các tổ chức cung ứng dịch vụ thanh toán” quy định: “Thư tín dụng là một văn bản cam kết có điều kiện được Ngân hàng mở theo yêu cầu của người sử dụng dịch vụ thanh toán (người xin mở thư tín dụng) để:</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[26] Trả tiền hoặc ủy quyền cho ngân hàng khác trả tiền ngay theo lệnh của người thụ hưởng khi nhận được bộ chứng từ xuất trình phù hợp với các điều kiện của thư tín dụng; hoặc chấp nhận sẽ trả tiền hoặc ủy quyền cho ngân hàng khác trả tiền theo lệnh của người thụ hưởng vào một thời điểm nhất định trong tương lai khi nhận được bộ chứng từ xuất trình phù hợp với các điều kiện thanh toán của thư tín dụng”.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[27] Tại khoản 1 Điều 19 của Quyết định 226 nêu trên quy định: “Thanh toán bằng thư tín dụng: Việc mở, phát hành, sửa đổi, thông báo, xác nhận, kiểm tra chứng từ, thanh toán và quyền, nghĩa vụ của các bên liên quan trong thanh toán thư tín dụng thực hiện theo quy tắc chung về tín dụng chứng từ do Phòng Thương mại Quốc tế ICC ban hành, do các bên tham gia thỏa thuận và theo quy định của pháp luật Việt Nam”.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[28] Mặt khác, tại thư đề nghị mở L/C của Bên mua có thỏa thuận: Quy tắc áp dụng là UCP phiên bản mới nhất. Theo Bản sửa đổi về quy tắc thực hành thống nhất tín dụng chứng từ lần thứ 6 năm 2007 của Phòng Thương mại Quốc tế (UCP 600) thì:</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[29] “Tín dụng thư là một sự thỏa thuận, dù cho được mô tả hoặc đặt tên thế nào, là không thể hủy bỏ và theo đó là một sự cam kết chắc chắn của Ngân hàng phát hành để thanh toán khi xuất trình chứng từ phù hợp” (Điều 2).</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[30] “Về bản chất, tín dụng là một giao dịch riêng biệt với Hợp đồng mua bán và các hợp đồng khác là cơ sở của tín dụng. Các Ngân hàng không liên quan đến hoặc ràng buộc bởi các hợp đồng như thế, thậm chí ngay cả khi tín dụng có dẫn chiếu đến các hợp đồng như thế. Vì vậy, sự cam kết của một Ngân hàng đểthanh toán hoặc thương lượng thanh toán,... không phụ thuộc vào khiếu nại hoặc biện hộ của người yêu cầu phát hành tín dụng phát sinh từ các quan hệ của họ với Ngân hàng phát hành hoặc người thụ hưởng” (Điều 4).</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[31 ] “Ngân hàng giao dịch với chứng từ chứ không phải bằng hàng hóa, dịch vụ hoặc các thực hiện khác mà các chứng từ có liên quan” (Điều 5).</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[32] “Ngân hàng phát hành bị ràng buộc không thể hủy bỏ đối với việc thanh toán từ thời điểm Ngân hàng phát hành L/C” (Điều 7).</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lastRenderedPageBreak/>
        <w:t>[33] “Khi ngân hàng phát hành xác định việc xuất trình là phù hợp, thì nó phải thanh toán” (Điều 15a).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Ngân hàng Thương mại Cổ phần E với tư cách là Ngân hàng phát hành phải thanh toán khi xác định bộ chứng từ xuất trình là phù hợp tại Ngân hàng.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[35] Về bộ chứng từ của L/C nêu trên quy định: Bộ chứng từ bao gồm Giấy chứng nhận trọng lượng và chất lượng được giám định viên độc lập cấp (không quy định hàng hóa phải được kiểm định lại tại cảng đến bởi một cơ quan kiểm định nào). Trong bộ chứng từ xuất trình đã có Giấy chứng nhận trọng lượng và chất lượng được giám định viên độc lập nước ngoài cấp là phù hợp với quy định L/C; đồng thời, Bên mua đã ký chấp nhận bộ chứng từ và cam kết thanh toán đủ giá trị, đúng hạn, nhưng Tòa án cấp sơ thẩm lại căn cứ vào kết luận giám định của Vinacontrol Thành phố Hồ Chí Minh (tại cảng đến) để kết luận bộ chứng từ không hợp lệ là không đúng với quy định tại L/C và cam kết của Bên mua.</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[36] Quá trình giải quyết vụ án, Ngân hàng N cho rằng đã chiết khấu bộ chứng từ hợp lệ và thanh toán cho Bên bán vào ngày 25-7-2011, ngày 28-7-2011 và ngày 08-8-2011, đồng thời xuất trình các thông báo chiết khấu hóa đơn xuất khẩu để minh chứng cho việc đã thanh toán tiền cho Bên bán. Tuy nhiên, ngoài tài liệu này, Ngân hàng N không xuất trình được bất kỳ tài liệu, giấy tờ nào khác thể hiện việc đã thanh toán tiền cho Bên bán. Do đó, trong trường hợp này, lẽ ra Tòa án cấp sơ thẩm phải thu thập đầy đủ tài liệu, chứng cứ để xác định Ngân hàng N đã trả tiền cho Bên bán hay chưa? Nếu đã trả tiền thì số lượng tiền trả là bao nhiêu? Trường hợp nếu Ngân hàng N đã trả tiền cho Bên bán theo L/C số 1801 thì Ngân hàng Thương mại cổ phần E phải giải quyết theo yêu cầu của Ngân hàng N. Do những vấn đề nêu trên chưa được làm rõ, nhưng Tòa án cấp sơ thẩm lại cho rằng phương thức thanh toán bằng L/C số 1801 là một phần không thể tách rời của Hợp đồng mua bán hàng hóa ngày 07-6-2011; do vậy, khi hợp đồng này bị hủy toàn bộ thì các bên không phải tiếp tục thực hiện nghĩa vụ đã thỏa thuận trong hợp đồng; từ đó quyết định L/C số 1801 không còn hiệu lực thanh toán và Ngân hàng Thương mại Cổ phần E không có nghĩa vụ thanh toán cho Ngân hàng N theo L/C nêu trên; đồng thời buộc Ngân hàng Thương mại Cổ phần E phải trả cho bên mua số tiền ký quỹ là 1.313.308,85 USD là chưa đủ cơ sở và chưa đúng với các quy định tại UCP 600.</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[37] Sau khi xét xử sơ thẩm, Ngân hàng Thương mại Cổ phần E kháng cáo toàn bộ bản án sơ thẩm nêu trên. Tòa án cấp phúc thẩm đã ra Quyết định đưa vụ án ra xét xử và tống đạt Giấy triệu tập đương sự tham gia phiên tòa vào các ngày 25-9-2014, ngày 27-10-2014, ngày 31-10-2014, ngày 16-4-2015 nhưng các phiên tòa này đều hoãn vì các lý do khác nhau như: vắng mặt đương sự, vắng mặt đại diện Viện kiểm sát, cần thời gian thực hiện ủy thác tư pháp,...</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[38] Tại Quyết định số 09/2015/QĐPT-KDTM ngày 29-5-2015, Tòa Phúc thẩm Tòa án nhân dân tối cao tại Thành phố Hồ Chí Minh quyết định tạm đình chỉ xét xử phúc thẩm để tiến hành thủ tục ủy thác tư pháp trong việc triệu tập Công ty B tham gia phiên tòa phúc thẩm.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[39] Tại Quyết định không số ngày 10-8-2015, Tòa án nhân dân cấp cao tại Thành phố Hồ Chí Minh quyết định đưa vụ án ra xét xử phúc thẩm vào ngày 26-8-2015.</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 xml:space="preserve">[40] Ngày 19-8-2015, Ngân hàng Thương mại Cổ phần E nhận được Giấy triệu tập tham dự phiên tòa nêu trên; ngày 24-8-2015 Ngân hàng Thương mại Cổ phần E có đơn xin hoãn phiên tòa với lý do người đại diện theo ủy quyền của Ngân hàng Thương mại Cổ phần E là ông Hứa Anh K đang đi công tác. Tại phiên tòa ngày 26-8-2015, Tòa án cấp phúc thẩm không chấp nhận đơn xin hoãn phiên tòa của ông K mà cho rằng Ngân hàng Thương mại Cổ phần E (người kháng </w:t>
      </w:r>
      <w:r w:rsidRPr="00FA269C">
        <w:rPr>
          <w:rFonts w:cs="Times New Roman"/>
          <w:sz w:val="24"/>
          <w:szCs w:val="24"/>
        </w:rPr>
        <w:lastRenderedPageBreak/>
        <w:t>cáo) đã được triệu tập hợp lệ lần thứ hai nhưng vẫn vắng mặt, từ đó ra quyết định đình chỉ xét xử phúc thẩm.</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[41] Việc Tòa án nhân dân cấp cao tại Thành phố Hồ Chí Minh ra Quyết định đình chỉ xét xử phúc thẩm nêu trên là không đúng quy định của pháp luật, vì tại khoản 2 Điều 13 Nghị quyết số 06/2012/NQ-HĐTPngày 03-12-2012 của Hội đồng Thẩm phán Tòa án nhân dân tối cao quy định: “Trường hợp có quyết định tạm đình chỉ xét xử phúc thẩm vụ án dân sự, thì thời hạn chuẩn bị xét xử kết thúc vào ngày ra quyết định tạm đình chỉ. Thời hạn chuẩn bị xét xử phúc thẩm bắt đầu tính lại kể từ ngày Tòa án cấp phúc thẩm tiếp tục xét xử phúc thẩm vụ án khi lý do tạm đình chỉ không còn nữa”. Như vậy, do có Quyết định tạm đình chỉ vụ án trên, nên khi Tòa án cấp phúc thẩm tiếp tục xét xử phúc thẩm vụ án thì thời hạn chuẩn bị xét xử phúc thẩm bắt đầu được tính lại kể từ ngày Tòa cấp phúc thẩm ra Quyết định đưa vụ án ra xét xử (tức là ngày 10-8-2015). Do đó, phiên tòa phúc thẩm ngày 26-8-2015 mà người kháng cáo (Ngân hàng Thương mại Cổ phần E) vắng mặt thì đây được coi là người kháng cáo được Tòa án triệu tập hợp lệ lần thứ nhất mà vắng mặt thì dù có lý do chính đáng hay không có lý do chính đáng, Tòa án phải hoãn phiên tòa theo quy định tại Điều 266 Bộ luật Tố tụng dân sự sửa đổi, bổ sung năm 2011 và Điều 16 Nghị quyết số 06/2012/NQ-HĐTP ngày 03-12-2012 của Hội đồng Thẩm phán Tòa án nhân dân tối cao. Tuy nhiên, Tòa án cấp phúc thẩm cho rằng đại diện của Ngân hàng Thương mại Cổ phần E đã được triệu tập hợp lệ lần thứ hai mà vẫn vắng mặt không vì lý do bất khả kháng, từ đó ra quyết định đình chỉ xét xử phúc thẩm là không đúng; việc Tòa án cấp phúc thẩm ra quyết định đình chỉ xét xử phúc thẩm là vi phạm nghiêm trọng thủ tục tố tụng, làm ảnh hưởng đến quyền, lợi ích hợp pháp của đương sự.</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Bởi các lẽ trên, căn cứ khoản 2 Điều 337, khoản 3 Điều 343, Điều 345 Bộ luật Tố tụng dân sự.</w:t>
      </w:r>
    </w:p>
    <w:p w:rsidR="00FA269C" w:rsidRPr="00E27A61" w:rsidRDefault="00FA269C" w:rsidP="00E27A61">
      <w:pPr>
        <w:spacing w:before="120" w:after="240" w:line="240" w:lineRule="auto"/>
        <w:jc w:val="center"/>
        <w:rPr>
          <w:rFonts w:cs="Times New Roman"/>
          <w:b/>
          <w:sz w:val="24"/>
          <w:szCs w:val="24"/>
        </w:rPr>
      </w:pPr>
      <w:bookmarkStart w:id="0" w:name="_GoBack"/>
      <w:r w:rsidRPr="00E27A61">
        <w:rPr>
          <w:rFonts w:cs="Times New Roman"/>
          <w:b/>
          <w:sz w:val="24"/>
          <w:szCs w:val="24"/>
        </w:rPr>
        <w:t>NỘI DUNG ÁN LỆ</w:t>
      </w:r>
    </w:p>
    <w:bookmarkEnd w:id="0"/>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Ngân hàng Thương mại Cổ phần E với tư cách là Ngân hàng phát hành phải thanh toán khi xác định bộ chứng từ xuất trình là phù hợp tại Ngân hàng...</w:t>
      </w:r>
    </w:p>
    <w:p w:rsidR="00FA269C" w:rsidRPr="00FA269C" w:rsidRDefault="00FA269C" w:rsidP="00E27A61">
      <w:pPr>
        <w:spacing w:before="120" w:after="240" w:line="240" w:lineRule="auto"/>
        <w:jc w:val="both"/>
        <w:rPr>
          <w:rFonts w:cs="Times New Roman"/>
          <w:sz w:val="24"/>
          <w:szCs w:val="24"/>
        </w:rPr>
      </w:pPr>
      <w:r w:rsidRPr="00FA269C">
        <w:rPr>
          <w:rFonts w:cs="Times New Roman"/>
          <w:sz w:val="24"/>
          <w:szCs w:val="24"/>
        </w:rPr>
        <w:t>[36]... Tòa án cấp sơ thẩm lại cho rằng phương thức thanh toán bằng L/C số 1801 là một phần không thể tách rời của Hợp đồng mua bán hàng hóa ngày 07-6-2011; do vậy, khi hợp đồng này bị hủy toàn bộ thì các bên không phải tiếp tục thực hiện nghĩa vụ đã thỏa thuận trong hợp đồng; từ đó quyết định L/C số 1801 không còn hiệu lực thanh toán và Ngân hàng Thương mại Cổ phần E không có nghĩa vụ thanh toán cho Ngân hàng N theo L/C nêu trên; đồng thời buộc Ngân hàng Thương mại Cổ phần E phải trả cho bên mua số tiền ký quỹ là 1.313.308,85 USD là chưa đủ cơ sở và chưa đúng với các quy định tại UCP 600".</w:t>
      </w:r>
      <w:r w:rsidRPr="00FA269C">
        <w:rPr>
          <w:rFonts w:cs="Times New Roman"/>
          <w:sz w:val="24"/>
          <w:szCs w:val="24"/>
        </w:rPr>
        <w:t>a</w:t>
      </w:r>
    </w:p>
    <w:sectPr w:rsidR="00FA269C" w:rsidRPr="00FA269C"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9C"/>
    <w:rsid w:val="00016CA3"/>
    <w:rsid w:val="00E24148"/>
    <w:rsid w:val="00E27A61"/>
    <w:rsid w:val="00FA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F801"/>
  <w15:chartTrackingRefBased/>
  <w15:docId w15:val="{6C9F9EA3-12F5-4D35-8904-8F9BC8F3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61843">
      <w:bodyDiv w:val="1"/>
      <w:marLeft w:val="0"/>
      <w:marRight w:val="0"/>
      <w:marTop w:val="0"/>
      <w:marBottom w:val="0"/>
      <w:divBdr>
        <w:top w:val="none" w:sz="0" w:space="0" w:color="auto"/>
        <w:left w:val="none" w:sz="0" w:space="0" w:color="auto"/>
        <w:bottom w:val="none" w:sz="0" w:space="0" w:color="auto"/>
        <w:right w:val="none" w:sz="0" w:space="0" w:color="auto"/>
      </w:divBdr>
      <w:divsChild>
        <w:div w:id="947541598">
          <w:marLeft w:val="0"/>
          <w:marRight w:val="0"/>
          <w:marTop w:val="0"/>
          <w:marBottom w:val="0"/>
          <w:divBdr>
            <w:top w:val="none" w:sz="0" w:space="0" w:color="auto"/>
            <w:left w:val="none" w:sz="0" w:space="0" w:color="auto"/>
            <w:bottom w:val="none" w:sz="0" w:space="0" w:color="auto"/>
            <w:right w:val="none" w:sz="0" w:space="0" w:color="auto"/>
          </w:divBdr>
          <w:divsChild>
            <w:div w:id="1492134399">
              <w:marLeft w:val="0"/>
              <w:marRight w:val="0"/>
              <w:marTop w:val="0"/>
              <w:marBottom w:val="0"/>
              <w:divBdr>
                <w:top w:val="none" w:sz="0" w:space="0" w:color="auto"/>
                <w:left w:val="none" w:sz="0" w:space="0" w:color="auto"/>
                <w:bottom w:val="none" w:sz="0" w:space="0" w:color="auto"/>
                <w:right w:val="none" w:sz="0" w:space="0" w:color="auto"/>
              </w:divBdr>
              <w:divsChild>
                <w:div w:id="1797720130">
                  <w:marLeft w:val="0"/>
                  <w:marRight w:val="0"/>
                  <w:marTop w:val="0"/>
                  <w:marBottom w:val="0"/>
                  <w:divBdr>
                    <w:top w:val="none" w:sz="0" w:space="0" w:color="auto"/>
                    <w:left w:val="none" w:sz="0" w:space="0" w:color="auto"/>
                    <w:bottom w:val="none" w:sz="0" w:space="0" w:color="auto"/>
                    <w:right w:val="none" w:sz="0" w:space="0" w:color="auto"/>
                  </w:divBdr>
                </w:div>
              </w:divsChild>
            </w:div>
            <w:div w:id="498692395">
              <w:marLeft w:val="0"/>
              <w:marRight w:val="0"/>
              <w:marTop w:val="0"/>
              <w:marBottom w:val="0"/>
              <w:divBdr>
                <w:top w:val="none" w:sz="0" w:space="0" w:color="auto"/>
                <w:left w:val="none" w:sz="0" w:space="0" w:color="auto"/>
                <w:bottom w:val="none" w:sz="0" w:space="0" w:color="auto"/>
                <w:right w:val="none" w:sz="0" w:space="0" w:color="auto"/>
              </w:divBdr>
            </w:div>
          </w:divsChild>
        </w:div>
        <w:div w:id="366488051">
          <w:marLeft w:val="0"/>
          <w:marRight w:val="0"/>
          <w:marTop w:val="0"/>
          <w:marBottom w:val="0"/>
          <w:divBdr>
            <w:top w:val="none" w:sz="0" w:space="0" w:color="auto"/>
            <w:left w:val="none" w:sz="0" w:space="0" w:color="auto"/>
            <w:bottom w:val="none" w:sz="0" w:space="0" w:color="auto"/>
            <w:right w:val="none" w:sz="0" w:space="0" w:color="auto"/>
          </w:divBdr>
          <w:divsChild>
            <w:div w:id="1115978504">
              <w:marLeft w:val="0"/>
              <w:marRight w:val="0"/>
              <w:marTop w:val="0"/>
              <w:marBottom w:val="0"/>
              <w:divBdr>
                <w:top w:val="none" w:sz="0" w:space="0" w:color="auto"/>
                <w:left w:val="none" w:sz="0" w:space="0" w:color="auto"/>
                <w:bottom w:val="none" w:sz="0" w:space="0" w:color="auto"/>
                <w:right w:val="none" w:sz="0" w:space="0" w:color="auto"/>
              </w:divBdr>
              <w:divsChild>
                <w:div w:id="1993946154">
                  <w:marLeft w:val="0"/>
                  <w:marRight w:val="0"/>
                  <w:marTop w:val="0"/>
                  <w:marBottom w:val="0"/>
                  <w:divBdr>
                    <w:top w:val="none" w:sz="0" w:space="0" w:color="auto"/>
                    <w:left w:val="none" w:sz="0" w:space="0" w:color="auto"/>
                    <w:bottom w:val="none" w:sz="0" w:space="0" w:color="auto"/>
                    <w:right w:val="none" w:sz="0" w:space="0" w:color="auto"/>
                  </w:divBdr>
                </w:div>
              </w:divsChild>
            </w:div>
            <w:div w:id="188687023">
              <w:marLeft w:val="0"/>
              <w:marRight w:val="0"/>
              <w:marTop w:val="0"/>
              <w:marBottom w:val="0"/>
              <w:divBdr>
                <w:top w:val="none" w:sz="0" w:space="0" w:color="auto"/>
                <w:left w:val="none" w:sz="0" w:space="0" w:color="auto"/>
                <w:bottom w:val="none" w:sz="0" w:space="0" w:color="auto"/>
                <w:right w:val="none" w:sz="0" w:space="0" w:color="auto"/>
              </w:divBdr>
            </w:div>
          </w:divsChild>
        </w:div>
        <w:div w:id="1339651456">
          <w:marLeft w:val="0"/>
          <w:marRight w:val="0"/>
          <w:marTop w:val="0"/>
          <w:marBottom w:val="0"/>
          <w:divBdr>
            <w:top w:val="none" w:sz="0" w:space="0" w:color="auto"/>
            <w:left w:val="none" w:sz="0" w:space="0" w:color="auto"/>
            <w:bottom w:val="none" w:sz="0" w:space="0" w:color="auto"/>
            <w:right w:val="none" w:sz="0" w:space="0" w:color="auto"/>
          </w:divBdr>
          <w:divsChild>
            <w:div w:id="1330407612">
              <w:marLeft w:val="0"/>
              <w:marRight w:val="0"/>
              <w:marTop w:val="0"/>
              <w:marBottom w:val="0"/>
              <w:divBdr>
                <w:top w:val="none" w:sz="0" w:space="0" w:color="auto"/>
                <w:left w:val="none" w:sz="0" w:space="0" w:color="auto"/>
                <w:bottom w:val="none" w:sz="0" w:space="0" w:color="auto"/>
                <w:right w:val="none" w:sz="0" w:space="0" w:color="auto"/>
              </w:divBdr>
              <w:divsChild>
                <w:div w:id="1949848273">
                  <w:marLeft w:val="0"/>
                  <w:marRight w:val="0"/>
                  <w:marTop w:val="0"/>
                  <w:marBottom w:val="0"/>
                  <w:divBdr>
                    <w:top w:val="none" w:sz="0" w:space="0" w:color="auto"/>
                    <w:left w:val="none" w:sz="0" w:space="0" w:color="auto"/>
                    <w:bottom w:val="none" w:sz="0" w:space="0" w:color="auto"/>
                    <w:right w:val="none" w:sz="0" w:space="0" w:color="auto"/>
                  </w:divBdr>
                </w:div>
              </w:divsChild>
            </w:div>
            <w:div w:id="314258851">
              <w:marLeft w:val="0"/>
              <w:marRight w:val="0"/>
              <w:marTop w:val="0"/>
              <w:marBottom w:val="0"/>
              <w:divBdr>
                <w:top w:val="none" w:sz="0" w:space="0" w:color="auto"/>
                <w:left w:val="none" w:sz="0" w:space="0" w:color="auto"/>
                <w:bottom w:val="none" w:sz="0" w:space="0" w:color="auto"/>
                <w:right w:val="none" w:sz="0" w:space="0" w:color="auto"/>
              </w:divBdr>
            </w:div>
          </w:divsChild>
        </w:div>
        <w:div w:id="1349218669">
          <w:marLeft w:val="0"/>
          <w:marRight w:val="0"/>
          <w:marTop w:val="0"/>
          <w:marBottom w:val="0"/>
          <w:divBdr>
            <w:top w:val="none" w:sz="0" w:space="0" w:color="auto"/>
            <w:left w:val="none" w:sz="0" w:space="0" w:color="auto"/>
            <w:bottom w:val="none" w:sz="0" w:space="0" w:color="auto"/>
            <w:right w:val="none" w:sz="0" w:space="0" w:color="auto"/>
          </w:divBdr>
          <w:divsChild>
            <w:div w:id="386296909">
              <w:marLeft w:val="0"/>
              <w:marRight w:val="0"/>
              <w:marTop w:val="0"/>
              <w:marBottom w:val="0"/>
              <w:divBdr>
                <w:top w:val="none" w:sz="0" w:space="0" w:color="auto"/>
                <w:left w:val="none" w:sz="0" w:space="0" w:color="auto"/>
                <w:bottom w:val="none" w:sz="0" w:space="0" w:color="auto"/>
                <w:right w:val="none" w:sz="0" w:space="0" w:color="auto"/>
              </w:divBdr>
              <w:divsChild>
                <w:div w:id="1413702680">
                  <w:marLeft w:val="0"/>
                  <w:marRight w:val="0"/>
                  <w:marTop w:val="0"/>
                  <w:marBottom w:val="0"/>
                  <w:divBdr>
                    <w:top w:val="none" w:sz="0" w:space="0" w:color="auto"/>
                    <w:left w:val="none" w:sz="0" w:space="0" w:color="auto"/>
                    <w:bottom w:val="none" w:sz="0" w:space="0" w:color="auto"/>
                    <w:right w:val="none" w:sz="0" w:space="0" w:color="auto"/>
                  </w:divBdr>
                </w:div>
              </w:divsChild>
            </w:div>
            <w:div w:id="1790658230">
              <w:marLeft w:val="0"/>
              <w:marRight w:val="0"/>
              <w:marTop w:val="0"/>
              <w:marBottom w:val="0"/>
              <w:divBdr>
                <w:top w:val="none" w:sz="0" w:space="0" w:color="auto"/>
                <w:left w:val="none" w:sz="0" w:space="0" w:color="auto"/>
                <w:bottom w:val="none" w:sz="0" w:space="0" w:color="auto"/>
                <w:right w:val="none" w:sz="0" w:space="0" w:color="auto"/>
              </w:divBdr>
            </w:div>
          </w:divsChild>
        </w:div>
        <w:div w:id="911965308">
          <w:marLeft w:val="0"/>
          <w:marRight w:val="0"/>
          <w:marTop w:val="0"/>
          <w:marBottom w:val="0"/>
          <w:divBdr>
            <w:top w:val="none" w:sz="0" w:space="0" w:color="auto"/>
            <w:left w:val="none" w:sz="0" w:space="0" w:color="auto"/>
            <w:bottom w:val="none" w:sz="0" w:space="0" w:color="auto"/>
            <w:right w:val="none" w:sz="0" w:space="0" w:color="auto"/>
          </w:divBdr>
          <w:divsChild>
            <w:div w:id="315454303">
              <w:marLeft w:val="0"/>
              <w:marRight w:val="0"/>
              <w:marTop w:val="0"/>
              <w:marBottom w:val="0"/>
              <w:divBdr>
                <w:top w:val="none" w:sz="0" w:space="0" w:color="auto"/>
                <w:left w:val="none" w:sz="0" w:space="0" w:color="auto"/>
                <w:bottom w:val="none" w:sz="0" w:space="0" w:color="auto"/>
                <w:right w:val="none" w:sz="0" w:space="0" w:color="auto"/>
              </w:divBdr>
              <w:divsChild>
                <w:div w:id="58554654">
                  <w:marLeft w:val="0"/>
                  <w:marRight w:val="0"/>
                  <w:marTop w:val="0"/>
                  <w:marBottom w:val="0"/>
                  <w:divBdr>
                    <w:top w:val="none" w:sz="0" w:space="0" w:color="auto"/>
                    <w:left w:val="none" w:sz="0" w:space="0" w:color="auto"/>
                    <w:bottom w:val="none" w:sz="0" w:space="0" w:color="auto"/>
                    <w:right w:val="none" w:sz="0" w:space="0" w:color="auto"/>
                  </w:divBdr>
                </w:div>
              </w:divsChild>
            </w:div>
            <w:div w:id="4639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2020-08-25T06:33:00Z</dcterms:created>
  <dcterms:modified xsi:type="dcterms:W3CDTF">2020-08-25T06:42:00Z</dcterms:modified>
</cp:coreProperties>
</file>