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12154" w14:textId="4B104607" w:rsidR="002573D2" w:rsidRPr="002573D2" w:rsidRDefault="002573D2" w:rsidP="002573D2">
      <w:pPr>
        <w:jc w:val="center"/>
        <w:rPr>
          <w:rFonts w:ascii="Arial" w:hAnsi="Arial" w:cs="Arial"/>
        </w:rPr>
      </w:pPr>
      <w:r w:rsidRPr="002573D2">
        <w:rPr>
          <w:rFonts w:ascii="Arial" w:hAnsi="Arial" w:cs="Arial"/>
        </w:rPr>
        <w:t>Đăng ký khai tử có yếu tố nước ngoài</w:t>
      </w:r>
    </w:p>
    <w:p w14:paraId="1988EB89" w14:textId="77777777" w:rsidR="002573D2" w:rsidRDefault="002573D2">
      <w:bookmarkStart w:id="0" w:name="_GoBack"/>
      <w:bookmarkEnd w:id="0"/>
    </w:p>
    <w:tbl>
      <w:tblPr>
        <w:tblStyle w:val="TableGrid"/>
        <w:tblW w:w="0" w:type="auto"/>
        <w:tblInd w:w="108" w:type="dxa"/>
        <w:tblLook w:val="04A0" w:firstRow="1" w:lastRow="0" w:firstColumn="1" w:lastColumn="0" w:noHBand="0" w:noVBand="1"/>
      </w:tblPr>
      <w:tblGrid>
        <w:gridCol w:w="1582"/>
        <w:gridCol w:w="7660"/>
      </w:tblGrid>
      <w:tr w:rsidR="00FD02DA" w:rsidRPr="002573D2" w14:paraId="21FBA6F1" w14:textId="77777777" w:rsidTr="002573D2">
        <w:tc>
          <w:tcPr>
            <w:tcW w:w="1582" w:type="dxa"/>
            <w:hideMark/>
          </w:tcPr>
          <w:p w14:paraId="1DE7BAF4" w14:textId="2D1BB33E"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Tên thủ tục:</w:t>
            </w:r>
          </w:p>
        </w:tc>
        <w:tc>
          <w:tcPr>
            <w:tcW w:w="7660" w:type="dxa"/>
            <w:hideMark/>
          </w:tcPr>
          <w:p w14:paraId="5DFBDA89"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 xml:space="preserve">Thủ tục </w:t>
            </w:r>
            <w:bookmarkStart w:id="1" w:name="_Hlk27820926"/>
            <w:r w:rsidRPr="002573D2">
              <w:rPr>
                <w:rFonts w:ascii="Arial" w:eastAsia="Times New Roman" w:hAnsi="Arial" w:cs="Arial"/>
                <w:color w:val="000000"/>
              </w:rPr>
              <w:t>Đăng ký khai tử có yếu tố nước ngoài</w:t>
            </w:r>
            <w:bookmarkEnd w:id="1"/>
          </w:p>
        </w:tc>
      </w:tr>
      <w:tr w:rsidR="00FD02DA" w:rsidRPr="002573D2" w14:paraId="57E5D1F6" w14:textId="77777777" w:rsidTr="002573D2">
        <w:tc>
          <w:tcPr>
            <w:tcW w:w="1582" w:type="dxa"/>
            <w:hideMark/>
          </w:tcPr>
          <w:p w14:paraId="4E4037FA"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Cơ quan thực hiện:</w:t>
            </w:r>
          </w:p>
        </w:tc>
        <w:tc>
          <w:tcPr>
            <w:tcW w:w="7660" w:type="dxa"/>
            <w:hideMark/>
          </w:tcPr>
          <w:p w14:paraId="10B05627"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 Cơ quan có thẩm quyền quyết định: Ủy ban nhân dân quận, huyện. - Cơ quan giải quyết thủ tục hành chính: Phòng Tư pháp.</w:t>
            </w:r>
          </w:p>
        </w:tc>
      </w:tr>
      <w:tr w:rsidR="00FD02DA" w:rsidRPr="002573D2" w14:paraId="7048DA54" w14:textId="77777777" w:rsidTr="002573D2">
        <w:tc>
          <w:tcPr>
            <w:tcW w:w="1582" w:type="dxa"/>
            <w:hideMark/>
          </w:tcPr>
          <w:p w14:paraId="26B4A243"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Cơ sở pháp lý:</w:t>
            </w:r>
          </w:p>
        </w:tc>
        <w:tc>
          <w:tcPr>
            <w:tcW w:w="7660" w:type="dxa"/>
            <w:hideMark/>
          </w:tcPr>
          <w:p w14:paraId="7AC19A49" w14:textId="342290D9"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 Luật Hộ tịch ngày 20 tháng 11 năm 2014 (có hiệu lực kể từ ngày 01 tháng 01 năm 2016); - Nghị định số 123/2015/NĐ-CP ngày 15 tháng 11 năm 2015 của Chính phủ quy định chi tiết một số điều và biện pháp thi hành Luật Hộ tịch (có hiệu lực kể từ ngày 01 tháng 01 năm 2016); - Thông tư số 15/2015/TT-BTP ngày 16 tháng 11 năm 2015 của Bộ trưởng Bộ Tư pháp quy định chi tiết thi hành một số điều của Luật Hộ tịch và Nghị định số 123/2015/NĐ-CP ngày 15/11/2015 của Chính phủ quy định chi tiết một số điều và biện pháp thi hành Luật Hộ tịch (có hiệu lực kể từ ngày 02 tháng 01 năm 2016); - Nghị quyết số 124/2016/NQ-HĐND ngày 09 tháng 12 năm 2016 của Hội đồng nhân dân thành phố về các loại phí và lệ phí trên địa bàn Thành phố Hồ Chí Minh (có hiệu lực kể từ ngày 01 tháng 01 năm 2017); - Quyết định số 52/2016/QĐ-UBND ngày 10 tháng 12 năm 2016 của Ủy ban nhân dân Thành phố ban hành mức thu 10 loại phí và 7 loại lệ phí trên địa bàn Thành phố Hồ Chí Minh (có hiệu lực kể từ ngày 01 tháng 01 năm 2017).</w:t>
            </w:r>
          </w:p>
        </w:tc>
      </w:tr>
      <w:tr w:rsidR="00FD02DA" w:rsidRPr="002573D2" w14:paraId="78AF7A76" w14:textId="77777777" w:rsidTr="002573D2">
        <w:tc>
          <w:tcPr>
            <w:tcW w:w="1582" w:type="dxa"/>
            <w:hideMark/>
          </w:tcPr>
          <w:p w14:paraId="35ECB370"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Trình tự thực hiện:</w:t>
            </w:r>
          </w:p>
        </w:tc>
        <w:tc>
          <w:tcPr>
            <w:tcW w:w="7660" w:type="dxa"/>
            <w:hideMark/>
          </w:tcPr>
          <w:p w14:paraId="54ACB151"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b/>
                <w:bCs/>
                <w:color w:val="000000"/>
                <w:lang w:val="nl-NL"/>
              </w:rPr>
              <w:t>- Bước 1:</w:t>
            </w:r>
            <w:r w:rsidRPr="002573D2">
              <w:rPr>
                <w:rFonts w:ascii="Arial" w:eastAsia="Times New Roman" w:hAnsi="Arial" w:cs="Arial"/>
                <w:color w:val="000000"/>
              </w:rPr>
              <w:t> Người có yêu cầu đăng ký khai tử </w:t>
            </w:r>
            <w:r w:rsidRPr="002573D2">
              <w:rPr>
                <w:rFonts w:ascii="Arial" w:eastAsia="Times New Roman" w:hAnsi="Arial" w:cs="Arial"/>
                <w:color w:val="000000"/>
                <w:lang w:val="nl-NL"/>
              </w:rPr>
              <w:t>nộp hồ sơ trực tiếp hoặc gửi hồ sơ qua hệ thống bưu chính đến Bộ phận tiếp nhận và trả kết quả của Ủy ban nhân dân quận, huyện có nơi cư trú cuối cùng của người chết từ thứ hai đến thứ sáu (buổi sáng từ 07 giờ 30 phút đến 11 giờ 30 phút, buổi chiều từ 13 giờ 00 phút đến 17 giờ 00 phút) và sáng thứ bảy (từ 07 giờ 30 phút đến 11 giờ 30 phút)</w:t>
            </w:r>
            <w:r w:rsidRPr="002573D2">
              <w:rPr>
                <w:rFonts w:ascii="Arial" w:eastAsia="Times New Roman" w:hAnsi="Arial" w:cs="Arial"/>
                <w:color w:val="000000"/>
              </w:rPr>
              <w:t>.</w:t>
            </w:r>
          </w:p>
          <w:p w14:paraId="001B6445"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rPr>
              <w:t>Trường hợp không xác định được nơi cư trú cuối cùng của người chết, thì người có yêu cầu đăng ký khai tử nộp hồ sơ </w:t>
            </w:r>
            <w:r w:rsidRPr="002573D2">
              <w:rPr>
                <w:rFonts w:ascii="Arial" w:eastAsia="Times New Roman" w:hAnsi="Arial" w:cs="Arial"/>
                <w:color w:val="000000"/>
                <w:lang w:val="nl-NL"/>
              </w:rPr>
              <w:t>đến Bộ phận tiếp nhận và trả kết quả của </w:t>
            </w:r>
            <w:r w:rsidRPr="002573D2">
              <w:rPr>
                <w:rFonts w:ascii="Arial" w:eastAsia="Times New Roman" w:hAnsi="Arial" w:cs="Arial"/>
                <w:color w:val="000000"/>
              </w:rPr>
              <w:t>Ủy ban nhân dân quận, huyện nơi người đó chết hoặc nơi phát hiện thi thể người chết để thực hiện việc đăng ký khai tử.</w:t>
            </w:r>
          </w:p>
          <w:p w14:paraId="35E25780"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b/>
                <w:bCs/>
                <w:color w:val="000000"/>
                <w:lang w:val="nl-NL"/>
              </w:rPr>
              <w:t>- Bước 2: </w:t>
            </w:r>
            <w:r w:rsidRPr="002573D2">
              <w:rPr>
                <w:rFonts w:ascii="Arial" w:eastAsia="Times New Roman" w:hAnsi="Arial" w:cs="Arial"/>
                <w:color w:val="000000"/>
                <w:lang w:val="nl-NL"/>
              </w:rPr>
              <w:t>Bộ phận tiếp nhận và trả kết quả </w:t>
            </w:r>
            <w:r w:rsidRPr="002573D2">
              <w:rPr>
                <w:rFonts w:ascii="Arial" w:eastAsia="Times New Roman" w:hAnsi="Arial" w:cs="Arial"/>
                <w:color w:val="000000"/>
                <w:shd w:val="clear" w:color="auto" w:fill="FFFFFF"/>
              </w:rPr>
              <w:t>tiếp nhận hồ sơ, kiểm tra tính hợp lệ và đầy đủ của các giấy tờ có trong hồ sơ:</w:t>
            </w:r>
          </w:p>
          <w:p w14:paraId="47439853"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shd w:val="clear" w:color="auto" w:fill="FFFFFF"/>
              </w:rPr>
              <w:t>* Trường hợp nộp trực tiếp:</w:t>
            </w:r>
          </w:p>
          <w:p w14:paraId="073793AE"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lang w:val="nl-NL"/>
              </w:rPr>
              <w:t>+ Trường hợp hồ sơ đầy đủ, hợp lệ, công chức tiếp nhận hồ sơ, viết giấy biên nhận;</w:t>
            </w:r>
          </w:p>
          <w:p w14:paraId="7A29206C"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shd w:val="clear" w:color="auto" w:fill="FFFFFF"/>
              </w:rPr>
              <w:t>+ Trường hợp hồ sơ chưa đầy đủ, chưa hợp lệ thì hướng dẫn người nộp hồ sơ bổ sung hoàn thiện hồ sơ theo quy định. Trường hợp không thể bổ sung, hoàn thiện hồ sơ ngay thì phải lập văn bản hướng dẫn. Trong đó nêu rõ loại giấy tờ, nội dung cần bổ sung, hoàn thiện, ký và ghi rõ họ tên người tiếp nhận hồ sơ;</w:t>
            </w:r>
          </w:p>
          <w:p w14:paraId="16CDC181"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shd w:val="clear" w:color="auto" w:fill="FFFFFF"/>
              </w:rPr>
              <w:t xml:space="preserve">+ Trong trường hợp hồ sơ không được bổ sung, hoàn thiện theo hướng dẫn thì người tiếp nhận hồ sơ từ chối tiếp nhận hồ sơ. Việc từ </w:t>
            </w:r>
            <w:r w:rsidRPr="002573D2">
              <w:rPr>
                <w:rFonts w:ascii="Arial" w:eastAsia="Times New Roman" w:hAnsi="Arial" w:cs="Arial"/>
                <w:color w:val="000000"/>
                <w:shd w:val="clear" w:color="auto" w:fill="FFFFFF"/>
              </w:rPr>
              <w:lastRenderedPageBreak/>
              <w:t>chối tiếp nhận hồ sơ phải được thể hiện bằng văn bản, trong đó ghi rõ lý do từ chối, người tiếp nhận ký và ghi rõ họ tên.</w:t>
            </w:r>
          </w:p>
          <w:p w14:paraId="6E85257D"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rPr>
              <w:t>* Trường hợp nộp qua bưu chính:</w:t>
            </w:r>
          </w:p>
          <w:p w14:paraId="04FC0C06"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rPr>
              <w:t>Trường hợp hồ sơ đầy đủ và hợp lệ thì thực hiện giải quyết hồ sơ theo quy định. Trường hợp hồ sơ chưa đầy đủ hoặc chưa hợp lệ thì mời người nộp hồ sơ đến bổ sung theo quy định.</w:t>
            </w:r>
          </w:p>
          <w:p w14:paraId="5465ECF6"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b/>
                <w:bCs/>
                <w:color w:val="000000"/>
              </w:rPr>
              <w:t>- Bước 3:</w:t>
            </w:r>
            <w:r w:rsidRPr="002573D2">
              <w:rPr>
                <w:rFonts w:ascii="Arial" w:eastAsia="Times New Roman" w:hAnsi="Arial" w:cs="Arial"/>
                <w:color w:val="000000"/>
              </w:rPr>
              <w:t> Ngay khi nhận hồ sơ, nếu thấy thông tin khai tử đầy đủ, hợp lệ, Phòng Tư pháp báo cáo Chủ tịch Ủy ban nhân dân quận, huyện cấp trích lục khai tử cho người được đăng ký khai tử, công chức làm công tác hộ tịch ghi vào sổ đăng ký khai tử và cùng người đi đăng ký khai tử ký vào sổ. Trường hợp từ chối, thì thông báo bằng văn bản, có nêu rõ lý do;</w:t>
            </w:r>
          </w:p>
          <w:p w14:paraId="65408EB4" w14:textId="77777777" w:rsidR="00FD02DA" w:rsidRPr="002573D2" w:rsidRDefault="00FD02DA" w:rsidP="00FD02DA">
            <w:pPr>
              <w:ind w:firstLine="567"/>
              <w:textAlignment w:val="baseline"/>
              <w:rPr>
                <w:rFonts w:ascii="Arial" w:eastAsia="Times New Roman" w:hAnsi="Arial" w:cs="Arial"/>
                <w:color w:val="000000"/>
              </w:rPr>
            </w:pPr>
            <w:r w:rsidRPr="002573D2">
              <w:rPr>
                <w:rFonts w:ascii="Arial" w:eastAsia="Times New Roman" w:hAnsi="Arial" w:cs="Arial"/>
                <w:color w:val="000000"/>
              </w:rPr>
              <w:t>Sau khi đăng ký khai tử, Phòng Tư pháp báo cáo chủ tịch Ủy ban nhân dân quận huyện có văn bản thông báo, kèm theo bản sao trích lục khai tử gửi cho Bộ ngoại giao để thông báo cho cơ quan có thẩm quyền của nước mà người chết là công dân.</w:t>
            </w:r>
          </w:p>
        </w:tc>
      </w:tr>
      <w:tr w:rsidR="00FD02DA" w:rsidRPr="002573D2" w14:paraId="32017077" w14:textId="77777777" w:rsidTr="002573D2">
        <w:tc>
          <w:tcPr>
            <w:tcW w:w="1582" w:type="dxa"/>
            <w:hideMark/>
          </w:tcPr>
          <w:p w14:paraId="7EF9F05B"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Cách thức thực hiện:</w:t>
            </w:r>
          </w:p>
        </w:tc>
        <w:tc>
          <w:tcPr>
            <w:tcW w:w="7660" w:type="dxa"/>
            <w:hideMark/>
          </w:tcPr>
          <w:p w14:paraId="5586DE0D"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Người có yêu cầu đăng ký khai tử trực tiếp thực hiện hoặc ủy quyền cho người khác thực hiện thủ tục đăng ký khai tử.</w:t>
            </w:r>
          </w:p>
        </w:tc>
      </w:tr>
      <w:tr w:rsidR="00FD02DA" w:rsidRPr="002573D2" w14:paraId="420C32CF" w14:textId="77777777" w:rsidTr="002573D2">
        <w:tc>
          <w:tcPr>
            <w:tcW w:w="1582" w:type="dxa"/>
            <w:hideMark/>
          </w:tcPr>
          <w:p w14:paraId="7C44539A"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Thành phần và số lượng:</w:t>
            </w:r>
          </w:p>
        </w:tc>
        <w:tc>
          <w:tcPr>
            <w:tcW w:w="7660" w:type="dxa"/>
            <w:hideMark/>
          </w:tcPr>
          <w:p w14:paraId="64483AFF"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 Thành phần hồ sơ: * Giấy tờ phải nộp: + Tờ khai đăng ký khai tử (theo mẫu); + Giấy báo tử hoặc giấy tờ khác thay giấy báo tử do cơ quan có thẩm quyền cấp. Giấy tờ thay thế giấy báo tử, bao gồm: • Đối với người chết tại cơ sở y tế thì Thủ trưởng cơ sở y tế cấp Giấy báo tử; • Đối với người chết do thi hành án tử hình thì Chủ tịch Hội đồng thi hành án tử hình cấp giấy xác nhận việc thi hành án tử hình thay Giấy báo tử; • Đối với người bị Tòa án tuyên bố là đã chết thì Bản án, quyết định có hiệu lực của Tòa án thay Giấy báo tử; • Đối với người chết trên phương tiện giao thông, chết do tai nạn, bị giết, chết đột ngột hoặc chết có nghi vấn thì văn bản xác nhận của cơ quan công an hoặc kết quả giám định của Cơ quan giám định pháp y thay Giấy báo tử; + Văn bản ủy quyền theo quy định pháp luật trong trường hợp ủy quyền thực hiện việc đăng ký khai tử. * Giấy tờ phải xuất trình: + Giấy tờ tùy thân gồm: hộ chiếu, chứng minh nhân dân, thẻ căn cước công dân hoặc giấy tờ khác có dán ảnh và thông tin cá nhân do cơ quan có thẩm quyền cấp, còn giá trị sử dụng để chứng minh về nhân thân của người có yêu cầu đăng ký khai tử; + Giấy tờ chứng minh nơi cư trú cuối cùng của người chết để xác định thẩm quyền; trong trường hợp không xác định được nơi cư trú cuối cùng của người chết thì xuất trình giấy tờ chứng minh nơi người đó chết hoặc nơi phát hiện thi thể của người; Trường hợp gửi hồ sơ qua đường bưu chính thì phải gửi kèm theo bản sao có chứng thực các giấy tờ phải xuất trình nêu trên. - Số lượng hồ sơ: 01 bộ.</w:t>
            </w:r>
          </w:p>
        </w:tc>
      </w:tr>
      <w:tr w:rsidR="00FD02DA" w:rsidRPr="002573D2" w14:paraId="0CE38431" w14:textId="77777777" w:rsidTr="002573D2">
        <w:tc>
          <w:tcPr>
            <w:tcW w:w="1582" w:type="dxa"/>
            <w:hideMark/>
          </w:tcPr>
          <w:p w14:paraId="690617CC"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Thời gian giải quyết:</w:t>
            </w:r>
          </w:p>
        </w:tc>
        <w:tc>
          <w:tcPr>
            <w:tcW w:w="7660" w:type="dxa"/>
            <w:hideMark/>
          </w:tcPr>
          <w:p w14:paraId="29CBDCD4"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Ngay trong ngày làm việc. Nếu nộp hồ sơ sau 15 giờ mà không giải quyết được ngay thì trả kết quả trong ngày làm việc tiếp theo. Trường hợp cần xác minh thì thời hạn giải quyết không quá 03 ngày làm việc.</w:t>
            </w:r>
          </w:p>
        </w:tc>
      </w:tr>
      <w:tr w:rsidR="00FD02DA" w:rsidRPr="002573D2" w14:paraId="6C1327D4" w14:textId="77777777" w:rsidTr="002573D2">
        <w:tc>
          <w:tcPr>
            <w:tcW w:w="1582" w:type="dxa"/>
            <w:hideMark/>
          </w:tcPr>
          <w:p w14:paraId="0F52F0BE"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Đối tượng thực hiện:</w:t>
            </w:r>
          </w:p>
        </w:tc>
        <w:tc>
          <w:tcPr>
            <w:tcW w:w="7660" w:type="dxa"/>
            <w:hideMark/>
          </w:tcPr>
          <w:p w14:paraId="7BEA718D"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Cá nhân.</w:t>
            </w:r>
          </w:p>
        </w:tc>
      </w:tr>
      <w:tr w:rsidR="00FD02DA" w:rsidRPr="002573D2" w14:paraId="1AB703A6" w14:textId="77777777" w:rsidTr="002573D2">
        <w:tc>
          <w:tcPr>
            <w:tcW w:w="1582" w:type="dxa"/>
            <w:hideMark/>
          </w:tcPr>
          <w:p w14:paraId="35EBE8BA"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Kết quả:</w:t>
            </w:r>
          </w:p>
        </w:tc>
        <w:tc>
          <w:tcPr>
            <w:tcW w:w="7660" w:type="dxa"/>
            <w:hideMark/>
          </w:tcPr>
          <w:p w14:paraId="364BF306"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Trích lục Khai tử hoặc văn bản từ chối, có nêu rõ lý do.</w:t>
            </w:r>
          </w:p>
        </w:tc>
      </w:tr>
      <w:tr w:rsidR="00FD02DA" w:rsidRPr="002573D2" w14:paraId="49F12D93" w14:textId="77777777" w:rsidTr="002573D2">
        <w:tc>
          <w:tcPr>
            <w:tcW w:w="1582" w:type="dxa"/>
            <w:hideMark/>
          </w:tcPr>
          <w:p w14:paraId="7A13C24E"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lastRenderedPageBreak/>
              <w:t>Yêu cầu và điều kiện:</w:t>
            </w:r>
          </w:p>
        </w:tc>
        <w:tc>
          <w:tcPr>
            <w:tcW w:w="7660" w:type="dxa"/>
            <w:hideMark/>
          </w:tcPr>
          <w:p w14:paraId="631223B8"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tc>
      </w:tr>
      <w:tr w:rsidR="00FD02DA" w:rsidRPr="002573D2" w14:paraId="7C5A00C8" w14:textId="77777777" w:rsidTr="002573D2">
        <w:tc>
          <w:tcPr>
            <w:tcW w:w="1582" w:type="dxa"/>
            <w:hideMark/>
          </w:tcPr>
          <w:p w14:paraId="446E312D" w14:textId="77777777" w:rsidR="00FD02DA" w:rsidRPr="002573D2" w:rsidRDefault="00FD02DA" w:rsidP="00FD02DA">
            <w:pPr>
              <w:rPr>
                <w:rFonts w:ascii="Arial" w:eastAsia="Times New Roman" w:hAnsi="Arial" w:cs="Arial"/>
                <w:b/>
                <w:bCs/>
                <w:color w:val="000000"/>
              </w:rPr>
            </w:pPr>
            <w:r w:rsidRPr="002573D2">
              <w:rPr>
                <w:rFonts w:ascii="Arial" w:eastAsia="Times New Roman" w:hAnsi="Arial" w:cs="Arial"/>
                <w:b/>
                <w:bCs/>
                <w:color w:val="000000"/>
              </w:rPr>
              <w:t>Lệ phí:</w:t>
            </w:r>
          </w:p>
        </w:tc>
        <w:tc>
          <w:tcPr>
            <w:tcW w:w="7660" w:type="dxa"/>
            <w:hideMark/>
          </w:tcPr>
          <w:p w14:paraId="52615DD8" w14:textId="77777777" w:rsidR="00FD02DA" w:rsidRPr="002573D2" w:rsidRDefault="00FD02DA" w:rsidP="00FD02DA">
            <w:pPr>
              <w:rPr>
                <w:rFonts w:ascii="Arial" w:eastAsia="Times New Roman" w:hAnsi="Arial" w:cs="Arial"/>
                <w:color w:val="000000"/>
              </w:rPr>
            </w:pPr>
            <w:r w:rsidRPr="002573D2">
              <w:rPr>
                <w:rFonts w:ascii="Arial" w:eastAsia="Times New Roman" w:hAnsi="Arial" w:cs="Arial"/>
                <w:color w:val="000000"/>
              </w:rPr>
              <w:t>50.000 đồng/trường hợp. Miễn lệ phí đối với trẻ em, người thuộc hộ nghèo, người cao tuổi, người khuyết tật, người thuộc gia đình có công với cách mạng.</w:t>
            </w:r>
          </w:p>
        </w:tc>
      </w:tr>
    </w:tbl>
    <w:p w14:paraId="23DCE647" w14:textId="77777777" w:rsidR="003E20E2" w:rsidRPr="002573D2" w:rsidRDefault="002573D2">
      <w:pPr>
        <w:rPr>
          <w:rFonts w:ascii="Arial" w:hAnsi="Arial" w:cs="Arial"/>
        </w:rPr>
      </w:pPr>
    </w:p>
    <w:sectPr w:rsidR="003E20E2" w:rsidRPr="00257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2DA"/>
    <w:rsid w:val="000B1606"/>
    <w:rsid w:val="000D5C13"/>
    <w:rsid w:val="001772EF"/>
    <w:rsid w:val="001C16D0"/>
    <w:rsid w:val="002573D2"/>
    <w:rsid w:val="004B0BAC"/>
    <w:rsid w:val="004D0017"/>
    <w:rsid w:val="00DF5AA4"/>
    <w:rsid w:val="00FD0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EA898"/>
  <w15:chartTrackingRefBased/>
  <w15:docId w15:val="{EB2D416A-E62A-4253-98E6-0F8BEFC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333333"/>
        <w:sz w:val="24"/>
        <w:szCs w:val="24"/>
        <w:lang w:val="en-US" w:eastAsia="en-US" w:bidi="ar-SA"/>
      </w:rPr>
    </w:rPrDefault>
    <w:pPrDefault>
      <w:pPr>
        <w:spacing w:before="120"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02D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D02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70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Khac Thanh</dc:creator>
  <cp:keywords/>
  <dc:description/>
  <cp:lastModifiedBy>Khac Thanh</cp:lastModifiedBy>
  <cp:revision>2</cp:revision>
  <dcterms:created xsi:type="dcterms:W3CDTF">2019-12-20T07:48:00Z</dcterms:created>
  <dcterms:modified xsi:type="dcterms:W3CDTF">2019-12-21T04:42:00Z</dcterms:modified>
</cp:coreProperties>
</file>